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D43" w:rsidRPr="00E65416" w:rsidRDefault="00893D43" w:rsidP="00893D43">
      <w:pPr>
        <w:jc w:val="center"/>
        <w:rPr>
          <w:b/>
          <w:bCs/>
          <w:sz w:val="32"/>
          <w:szCs w:val="32"/>
        </w:rPr>
      </w:pPr>
      <w:r w:rsidRPr="00E65416">
        <w:rPr>
          <w:rFonts w:cs="宋体" w:hint="eastAsia"/>
          <w:b/>
          <w:bCs/>
          <w:sz w:val="32"/>
          <w:szCs w:val="32"/>
        </w:rPr>
        <w:t>同济大学攻读金融硕士</w:t>
      </w:r>
      <w:r w:rsidRPr="00E65416">
        <w:rPr>
          <w:b/>
          <w:bCs/>
          <w:sz w:val="32"/>
          <w:szCs w:val="32"/>
        </w:rPr>
        <w:t>(</w:t>
      </w:r>
      <w:r w:rsidRPr="00E65416">
        <w:rPr>
          <w:rFonts w:cs="宋体" w:hint="eastAsia"/>
          <w:b/>
          <w:bCs/>
          <w:sz w:val="32"/>
          <w:szCs w:val="32"/>
        </w:rPr>
        <w:t>专业学位</w:t>
      </w:r>
      <w:r w:rsidRPr="00E65416">
        <w:rPr>
          <w:b/>
          <w:bCs/>
          <w:sz w:val="32"/>
          <w:szCs w:val="32"/>
        </w:rPr>
        <w:t>)</w:t>
      </w:r>
      <w:r w:rsidRPr="00E65416">
        <w:rPr>
          <w:rFonts w:cs="宋体" w:hint="eastAsia"/>
          <w:b/>
          <w:bCs/>
          <w:sz w:val="32"/>
          <w:szCs w:val="32"/>
        </w:rPr>
        <w:t>（</w:t>
      </w:r>
      <w:r w:rsidRPr="00E65416">
        <w:rPr>
          <w:b/>
          <w:bCs/>
          <w:sz w:val="32"/>
          <w:szCs w:val="32"/>
        </w:rPr>
        <w:t>MF</w:t>
      </w:r>
      <w:r w:rsidRPr="00E65416">
        <w:rPr>
          <w:rFonts w:cs="宋体" w:hint="eastAsia"/>
          <w:b/>
          <w:bCs/>
          <w:sz w:val="32"/>
          <w:szCs w:val="32"/>
        </w:rPr>
        <w:t>）研究生</w:t>
      </w:r>
    </w:p>
    <w:p w:rsidR="00893D43" w:rsidRPr="00E65416" w:rsidRDefault="00893D43" w:rsidP="00893D43">
      <w:pPr>
        <w:jc w:val="center"/>
        <w:rPr>
          <w:rFonts w:cs="宋体"/>
          <w:b/>
          <w:bCs/>
          <w:sz w:val="32"/>
          <w:szCs w:val="32"/>
        </w:rPr>
      </w:pPr>
      <w:r w:rsidRPr="00E65416">
        <w:rPr>
          <w:b/>
          <w:bCs/>
          <w:sz w:val="32"/>
          <w:szCs w:val="32"/>
        </w:rPr>
        <w:t>201</w:t>
      </w:r>
      <w:r w:rsidR="006E3CE2" w:rsidRPr="00E65416">
        <w:rPr>
          <w:rFonts w:hint="eastAsia"/>
          <w:b/>
          <w:bCs/>
          <w:sz w:val="32"/>
          <w:szCs w:val="32"/>
        </w:rPr>
        <w:t>9</w:t>
      </w:r>
      <w:r w:rsidRPr="00E65416">
        <w:rPr>
          <w:rFonts w:cs="宋体" w:hint="eastAsia"/>
          <w:b/>
          <w:bCs/>
          <w:sz w:val="32"/>
          <w:szCs w:val="32"/>
        </w:rPr>
        <w:t>级培养方案</w:t>
      </w:r>
    </w:p>
    <w:p w:rsidR="00F85CD0" w:rsidRPr="00E65416" w:rsidRDefault="00F85CD0" w:rsidP="00893D43">
      <w:pPr>
        <w:jc w:val="center"/>
        <w:rPr>
          <w:b/>
          <w:bCs/>
          <w:sz w:val="32"/>
          <w:szCs w:val="32"/>
        </w:rPr>
      </w:pPr>
      <w:r w:rsidRPr="00E65416">
        <w:rPr>
          <w:rFonts w:cs="宋体" w:hint="eastAsia"/>
          <w:b/>
          <w:bCs/>
          <w:sz w:val="32"/>
          <w:szCs w:val="32"/>
        </w:rPr>
        <w:t>（全日制）</w:t>
      </w:r>
    </w:p>
    <w:p w:rsidR="00893D43" w:rsidRPr="00E65416" w:rsidRDefault="00893D43" w:rsidP="003D7A87">
      <w:pPr>
        <w:widowControl/>
        <w:adjustRightInd w:val="0"/>
        <w:snapToGrid w:val="0"/>
        <w:spacing w:beforeLines="50" w:before="156" w:afterLines="50" w:after="156" w:line="560" w:lineRule="exact"/>
        <w:ind w:firstLineChars="200" w:firstLine="482"/>
        <w:jc w:val="left"/>
        <w:rPr>
          <w:rFonts w:asciiTheme="majorEastAsia" w:eastAsiaTheme="majorEastAsia" w:hAnsiTheme="majorEastAsia" w:cs="宋体"/>
          <w:b/>
          <w:kern w:val="0"/>
          <w:sz w:val="24"/>
        </w:rPr>
      </w:pPr>
      <w:r w:rsidRPr="00E65416">
        <w:rPr>
          <w:rFonts w:asciiTheme="majorEastAsia" w:eastAsiaTheme="majorEastAsia" w:hAnsiTheme="majorEastAsia" w:cs="宋体" w:hint="eastAsia"/>
          <w:b/>
          <w:kern w:val="0"/>
          <w:sz w:val="24"/>
        </w:rPr>
        <w:t>一、专业简介</w:t>
      </w:r>
    </w:p>
    <w:p w:rsidR="006F26CD" w:rsidRPr="00E65416" w:rsidRDefault="006F26CD" w:rsidP="003D7A87">
      <w:pPr>
        <w:spacing w:line="360" w:lineRule="auto"/>
        <w:ind w:firstLineChars="200" w:firstLine="420"/>
        <w:rPr>
          <w:rFonts w:ascii="宋体" w:hAnsi="宋体" w:cs="宋体"/>
          <w:szCs w:val="21"/>
        </w:rPr>
      </w:pPr>
      <w:bookmarkStart w:id="0" w:name="OLE_LINK1"/>
      <w:bookmarkStart w:id="1" w:name="OLE_LINK2"/>
      <w:r w:rsidRPr="00E65416">
        <w:rPr>
          <w:rFonts w:ascii="宋体" w:hAnsi="宋体" w:cs="宋体" w:hint="eastAsia"/>
        </w:rPr>
        <w:t>本</w:t>
      </w:r>
      <w:proofErr w:type="gramStart"/>
      <w:r w:rsidRPr="00E65416">
        <w:rPr>
          <w:rFonts w:ascii="宋体" w:hAnsi="宋体" w:cs="宋体" w:hint="eastAsia"/>
        </w:rPr>
        <w:t>专业专业</w:t>
      </w:r>
      <w:proofErr w:type="gramEnd"/>
      <w:r w:rsidRPr="00E65416">
        <w:rPr>
          <w:rFonts w:ascii="宋体" w:hAnsi="宋体" w:cs="宋体" w:hint="eastAsia"/>
        </w:rPr>
        <w:t>名称：金融，所授学位：金融硕士，专业代码：025100。</w:t>
      </w:r>
    </w:p>
    <w:p w:rsidR="003D7A87" w:rsidRPr="00E65416" w:rsidRDefault="003D7A87" w:rsidP="003D7A87">
      <w:pPr>
        <w:spacing w:line="360" w:lineRule="auto"/>
        <w:ind w:firstLineChars="200" w:firstLine="420"/>
        <w:rPr>
          <w:rFonts w:ascii="宋体" w:hAnsi="宋体" w:cs="宋体"/>
        </w:rPr>
      </w:pPr>
      <w:r w:rsidRPr="00E65416">
        <w:rPr>
          <w:rFonts w:ascii="宋体" w:hAnsi="宋体" w:cs="宋体" w:hint="eastAsia"/>
          <w:szCs w:val="21"/>
        </w:rPr>
        <w:t>为应对</w:t>
      </w:r>
      <w:r w:rsidRPr="00E65416">
        <w:rPr>
          <w:rFonts w:ascii="宋体" w:hAnsi="宋体" w:cs="宋体"/>
          <w:szCs w:val="21"/>
        </w:rPr>
        <w:t>我国经济</w:t>
      </w:r>
      <w:r w:rsidRPr="00E65416">
        <w:rPr>
          <w:rFonts w:ascii="宋体" w:hAnsi="宋体" w:cs="宋体" w:hint="eastAsia"/>
          <w:szCs w:val="21"/>
        </w:rPr>
        <w:t>发展及国力提升</w:t>
      </w:r>
      <w:r w:rsidRPr="00E65416">
        <w:rPr>
          <w:rFonts w:ascii="宋体" w:hAnsi="宋体" w:cs="宋体"/>
          <w:szCs w:val="21"/>
        </w:rPr>
        <w:t>对金融专门人才的迫切需求</w:t>
      </w:r>
      <w:r w:rsidRPr="00E65416">
        <w:rPr>
          <w:rFonts w:ascii="宋体" w:hAnsi="宋体" w:cs="宋体" w:hint="eastAsia"/>
          <w:szCs w:val="21"/>
        </w:rPr>
        <w:t>，国家学位委员会于2010</w:t>
      </w:r>
      <w:r w:rsidRPr="00E65416">
        <w:rPr>
          <w:rFonts w:ascii="宋体" w:hAnsi="宋体" w:cs="宋体" w:hint="eastAsia"/>
        </w:rPr>
        <w:t>年增列了金融硕士专业学位（MF）研究生培养项目，同济大学是全国首批获得授权的85所MF培养院校之一，于2011年开始招生。</w:t>
      </w:r>
    </w:p>
    <w:p w:rsidR="00893D43" w:rsidRPr="00E65416" w:rsidRDefault="003D7A87" w:rsidP="006A7893">
      <w:pPr>
        <w:spacing w:line="360" w:lineRule="auto"/>
        <w:ind w:firstLineChars="200" w:firstLine="420"/>
        <w:rPr>
          <w:rFonts w:ascii="宋体" w:hAnsi="宋体" w:cs="宋体"/>
        </w:rPr>
      </w:pPr>
      <w:r w:rsidRPr="00E65416">
        <w:rPr>
          <w:rFonts w:ascii="宋体" w:hAnsi="宋体" w:cs="宋体" w:hint="eastAsia"/>
        </w:rPr>
        <w:t>为打造同济MF品牌、彰显同济特色，在学校的大力支持和推动下，同济MF项目自2014年起由同济大学经济与管理学院和数</w:t>
      </w:r>
      <w:proofErr w:type="gramStart"/>
      <w:r w:rsidRPr="00E65416">
        <w:rPr>
          <w:rFonts w:ascii="宋体" w:hAnsi="宋体" w:cs="宋体" w:hint="eastAsia"/>
        </w:rPr>
        <w:t>学科学</w:t>
      </w:r>
      <w:proofErr w:type="gramEnd"/>
      <w:r w:rsidRPr="00E65416">
        <w:rPr>
          <w:rFonts w:ascii="宋体" w:hAnsi="宋体" w:cs="宋体" w:hint="eastAsia"/>
        </w:rPr>
        <w:t>学院联合开办，共同招生、培养及管理，充分发挥跨学科优势，合力为社会输送具有坚实数学应用基础、丰富金融实践经验和卓越经济分析决策能力的专门型金融领域高端人才。</w:t>
      </w:r>
      <w:bookmarkEnd w:id="0"/>
      <w:bookmarkEnd w:id="1"/>
    </w:p>
    <w:p w:rsidR="00893D43" w:rsidRPr="00E65416" w:rsidRDefault="00893D43" w:rsidP="003D7A87">
      <w:pPr>
        <w:widowControl/>
        <w:adjustRightInd w:val="0"/>
        <w:snapToGrid w:val="0"/>
        <w:spacing w:beforeLines="50" w:before="156" w:afterLines="50" w:after="156" w:line="560" w:lineRule="exact"/>
        <w:ind w:firstLineChars="200" w:firstLine="482"/>
        <w:jc w:val="left"/>
        <w:rPr>
          <w:rFonts w:asciiTheme="majorEastAsia" w:eastAsiaTheme="majorEastAsia" w:hAnsiTheme="majorEastAsia" w:cs="宋体"/>
          <w:b/>
          <w:kern w:val="0"/>
          <w:sz w:val="24"/>
        </w:rPr>
      </w:pPr>
      <w:r w:rsidRPr="00E65416">
        <w:rPr>
          <w:rFonts w:asciiTheme="majorEastAsia" w:eastAsiaTheme="majorEastAsia" w:hAnsiTheme="majorEastAsia" w:cs="宋体" w:hint="eastAsia"/>
          <w:b/>
          <w:kern w:val="0"/>
          <w:sz w:val="24"/>
        </w:rPr>
        <w:t>二、培养目标</w:t>
      </w:r>
    </w:p>
    <w:p w:rsidR="008F41A3" w:rsidRPr="006038CA" w:rsidRDefault="008F41A3" w:rsidP="008F41A3">
      <w:pPr>
        <w:spacing w:before="100" w:line="360" w:lineRule="auto"/>
        <w:ind w:firstLine="400"/>
        <w:rPr>
          <w:rFonts w:ascii="黑体" w:cs="宋体"/>
          <w:szCs w:val="21"/>
        </w:rPr>
      </w:pPr>
      <w:r w:rsidRPr="006038CA">
        <w:rPr>
          <w:rFonts w:ascii="黑体" w:cs="宋体"/>
          <w:szCs w:val="21"/>
        </w:rPr>
        <w:t>坚持社会主义办学方向，立德树人，努力培养新时代中国特色社会主义伟大事业的建设者和接班人。</w:t>
      </w:r>
    </w:p>
    <w:p w:rsidR="008F41A3" w:rsidRPr="006038CA" w:rsidRDefault="008F41A3" w:rsidP="008F41A3">
      <w:pPr>
        <w:spacing w:before="100" w:line="360" w:lineRule="auto"/>
        <w:ind w:firstLine="400"/>
        <w:rPr>
          <w:rFonts w:ascii="黑体" w:cs="宋体"/>
          <w:szCs w:val="21"/>
        </w:rPr>
      </w:pPr>
      <w:r w:rsidRPr="006038CA">
        <w:rPr>
          <w:rFonts w:ascii="黑体" w:cs="宋体"/>
          <w:szCs w:val="21"/>
        </w:rPr>
        <w:t>1</w:t>
      </w:r>
      <w:r>
        <w:rPr>
          <w:rFonts w:ascii="黑体" w:cs="宋体" w:hint="eastAsia"/>
          <w:szCs w:val="21"/>
        </w:rPr>
        <w:t>、</w:t>
      </w:r>
      <w:r w:rsidRPr="006038CA">
        <w:rPr>
          <w:rFonts w:ascii="黑体" w:cs="宋体"/>
          <w:szCs w:val="21"/>
        </w:rPr>
        <w:t>.</w:t>
      </w:r>
      <w:r w:rsidRPr="006038CA">
        <w:rPr>
          <w:rFonts w:ascii="黑体" w:cs="宋体"/>
          <w:szCs w:val="21"/>
        </w:rPr>
        <w:t>具有坚定正确的政治方向，热爱社会主义祖国，拥护中国共产党的领导；努力学习马克思主义、毛泽东思想、邓小平理论、</w:t>
      </w:r>
      <w:r w:rsidRPr="006038CA">
        <w:rPr>
          <w:rFonts w:ascii="黑体" w:cs="宋体"/>
          <w:szCs w:val="21"/>
        </w:rPr>
        <w:t>“</w:t>
      </w:r>
      <w:r w:rsidRPr="006038CA">
        <w:rPr>
          <w:rFonts w:ascii="黑体" w:cs="宋体"/>
          <w:szCs w:val="21"/>
        </w:rPr>
        <w:t>三个代表</w:t>
      </w:r>
      <w:r w:rsidRPr="006038CA">
        <w:rPr>
          <w:rFonts w:ascii="黑体" w:cs="宋体"/>
          <w:szCs w:val="21"/>
        </w:rPr>
        <w:t>”</w:t>
      </w:r>
      <w:r w:rsidRPr="006038CA">
        <w:rPr>
          <w:rFonts w:ascii="黑体" w:cs="宋体"/>
          <w:szCs w:val="21"/>
        </w:rPr>
        <w:t>重要思想、科学发展观和习近平新时代中国特色社会主义思想体系；具有为人民</w:t>
      </w:r>
      <w:bookmarkStart w:id="2" w:name="_GoBack"/>
      <w:bookmarkEnd w:id="2"/>
      <w:r w:rsidRPr="006038CA">
        <w:rPr>
          <w:rFonts w:ascii="黑体" w:cs="宋体"/>
          <w:szCs w:val="21"/>
        </w:rPr>
        <w:t>服务和为祖国富强而艰苦奋斗的献身精神；自觉遵纪守法、有良好的道德品质；</w:t>
      </w:r>
    </w:p>
    <w:p w:rsidR="008F41A3" w:rsidRPr="006038CA" w:rsidRDefault="008F41A3" w:rsidP="008F41A3">
      <w:pPr>
        <w:spacing w:before="100" w:line="360" w:lineRule="auto"/>
        <w:ind w:firstLine="400"/>
        <w:rPr>
          <w:rFonts w:ascii="黑体" w:cs="宋体"/>
          <w:szCs w:val="21"/>
        </w:rPr>
      </w:pPr>
      <w:r>
        <w:rPr>
          <w:rFonts w:ascii="黑体" w:cs="宋体" w:hint="eastAsia"/>
          <w:szCs w:val="21"/>
        </w:rPr>
        <w:t>2</w:t>
      </w:r>
      <w:r>
        <w:rPr>
          <w:rFonts w:ascii="黑体" w:cs="宋体" w:hint="eastAsia"/>
          <w:szCs w:val="21"/>
        </w:rPr>
        <w:t>、</w:t>
      </w:r>
      <w:r w:rsidRPr="006038CA">
        <w:rPr>
          <w:rFonts w:ascii="黑体" w:cs="宋体"/>
          <w:szCs w:val="21"/>
        </w:rPr>
        <w:t>具有实事求是、勇于探索和创新的科学精神。</w:t>
      </w:r>
    </w:p>
    <w:p w:rsidR="008F41A3" w:rsidRPr="00011164" w:rsidRDefault="008F41A3" w:rsidP="008F41A3">
      <w:pPr>
        <w:widowControl/>
        <w:adjustRightInd w:val="0"/>
        <w:snapToGrid w:val="0"/>
        <w:spacing w:line="560" w:lineRule="exact"/>
        <w:ind w:firstLineChars="200" w:firstLine="420"/>
        <w:jc w:val="left"/>
        <w:rPr>
          <w:rFonts w:ascii="黑体" w:cs="宋体"/>
          <w:szCs w:val="21"/>
        </w:rPr>
      </w:pPr>
      <w:r>
        <w:rPr>
          <w:rFonts w:ascii="黑体" w:cs="宋体" w:hint="eastAsia"/>
          <w:szCs w:val="21"/>
        </w:rPr>
        <w:t>3</w:t>
      </w:r>
      <w:r w:rsidRPr="00011164">
        <w:rPr>
          <w:rFonts w:ascii="黑体" w:cs="宋体" w:hint="eastAsia"/>
          <w:szCs w:val="21"/>
        </w:rPr>
        <w:t>、系统地掌握经济学、金融学基础理论，掌握现代金融学原理和系统的金融专门知识与定量分析能力。</w:t>
      </w:r>
    </w:p>
    <w:p w:rsidR="008F41A3" w:rsidRPr="00011164" w:rsidRDefault="008F41A3" w:rsidP="008F41A3">
      <w:pPr>
        <w:widowControl/>
        <w:adjustRightInd w:val="0"/>
        <w:snapToGrid w:val="0"/>
        <w:spacing w:line="560" w:lineRule="exact"/>
        <w:ind w:firstLineChars="200" w:firstLine="420"/>
        <w:jc w:val="left"/>
        <w:rPr>
          <w:rFonts w:ascii="黑体" w:cs="宋体"/>
          <w:szCs w:val="21"/>
        </w:rPr>
      </w:pPr>
      <w:r>
        <w:rPr>
          <w:rFonts w:ascii="黑体" w:cs="宋体" w:hint="eastAsia"/>
          <w:szCs w:val="21"/>
        </w:rPr>
        <w:t>4</w:t>
      </w:r>
      <w:r w:rsidRPr="00011164">
        <w:rPr>
          <w:rFonts w:ascii="黑体" w:cs="宋体" w:hint="eastAsia"/>
          <w:szCs w:val="21"/>
        </w:rPr>
        <w:t>、具有应用第一外语开展学术研究和学术交流的基本能力；能够理论联系实际，具有金融经济问题观察分析能力、金融市场运作能力和从事金融保险具体工作的能力。</w:t>
      </w:r>
    </w:p>
    <w:p w:rsidR="008F41A3" w:rsidRPr="00011164" w:rsidRDefault="008F41A3" w:rsidP="008F41A3">
      <w:pPr>
        <w:widowControl/>
        <w:adjustRightInd w:val="0"/>
        <w:snapToGrid w:val="0"/>
        <w:spacing w:line="560" w:lineRule="exact"/>
        <w:ind w:firstLineChars="200" w:firstLine="420"/>
        <w:jc w:val="left"/>
        <w:rPr>
          <w:rFonts w:ascii="黑体" w:cs="宋体"/>
          <w:szCs w:val="21"/>
        </w:rPr>
      </w:pPr>
      <w:r>
        <w:rPr>
          <w:rFonts w:ascii="黑体" w:cs="宋体" w:hint="eastAsia"/>
          <w:szCs w:val="21"/>
        </w:rPr>
        <w:t>5</w:t>
      </w:r>
      <w:r w:rsidRPr="00011164">
        <w:rPr>
          <w:rFonts w:ascii="黑体" w:cs="宋体" w:hint="eastAsia"/>
          <w:szCs w:val="21"/>
        </w:rPr>
        <w:t>、毕业后可承担中高层次的各类金融运作与管理工作。</w:t>
      </w:r>
    </w:p>
    <w:p w:rsidR="00893D43" w:rsidRPr="00E65416" w:rsidRDefault="00893D43" w:rsidP="003D7A87">
      <w:pPr>
        <w:widowControl/>
        <w:adjustRightInd w:val="0"/>
        <w:snapToGrid w:val="0"/>
        <w:spacing w:beforeLines="50" w:before="156" w:afterLines="50" w:after="156" w:line="560" w:lineRule="exact"/>
        <w:ind w:firstLineChars="200" w:firstLine="482"/>
        <w:jc w:val="left"/>
        <w:rPr>
          <w:rFonts w:asciiTheme="majorEastAsia" w:eastAsiaTheme="majorEastAsia" w:hAnsiTheme="majorEastAsia" w:cs="宋体"/>
          <w:b/>
          <w:kern w:val="0"/>
          <w:sz w:val="24"/>
        </w:rPr>
      </w:pPr>
      <w:r w:rsidRPr="00E65416">
        <w:rPr>
          <w:rFonts w:asciiTheme="majorEastAsia" w:eastAsiaTheme="majorEastAsia" w:hAnsiTheme="majorEastAsia" w:cs="宋体" w:hint="eastAsia"/>
          <w:b/>
          <w:kern w:val="0"/>
          <w:sz w:val="24"/>
        </w:rPr>
        <w:lastRenderedPageBreak/>
        <w:t>三、研究（领域）方向</w:t>
      </w:r>
    </w:p>
    <w:p w:rsidR="00893D43" w:rsidRPr="00E65416" w:rsidRDefault="00893D43" w:rsidP="00BC240F">
      <w:pPr>
        <w:spacing w:line="360" w:lineRule="auto"/>
        <w:ind w:firstLineChars="200" w:firstLine="420"/>
        <w:jc w:val="left"/>
        <w:rPr>
          <w:rFonts w:ascii="宋体"/>
        </w:rPr>
      </w:pPr>
      <w:bookmarkStart w:id="3" w:name="OLE_LINK5"/>
      <w:bookmarkStart w:id="4" w:name="OLE_LINK6"/>
      <w:r w:rsidRPr="00E65416">
        <w:rPr>
          <w:rFonts w:ascii="宋体" w:hAnsi="宋体" w:cs="宋体" w:hint="eastAsia"/>
        </w:rPr>
        <w:t>金融学是研究经济活动各领域货币与资本运动、资源配置和宏观调控的学科，是兼具理论性与实务性、微观与宏观、国别性与全球性特点的综合性学科。本学科以金融运行为主线，研究金融运行的一般规律，货币、信用、金融市场政策的制定与调节的一般规律等。</w:t>
      </w:r>
    </w:p>
    <w:p w:rsidR="00893D43" w:rsidRPr="00E65416" w:rsidRDefault="00893D43" w:rsidP="00BC240F">
      <w:pPr>
        <w:autoSpaceDE w:val="0"/>
        <w:autoSpaceDN w:val="0"/>
        <w:adjustRightInd w:val="0"/>
        <w:spacing w:line="360" w:lineRule="auto"/>
        <w:ind w:firstLineChars="200" w:firstLine="420"/>
        <w:jc w:val="left"/>
        <w:rPr>
          <w:rFonts w:ascii="宋体" w:hAnsi="宋体" w:cs="宋体"/>
        </w:rPr>
      </w:pPr>
      <w:r w:rsidRPr="00E65416">
        <w:rPr>
          <w:rFonts w:ascii="宋体" w:hAnsi="宋体" w:cs="宋体" w:hint="eastAsia"/>
        </w:rPr>
        <w:t>本专业下设四个研究方向，即：金融市场与投资分析、金融企业与商业银行管理、</w:t>
      </w:r>
      <w:r w:rsidR="00C934EE" w:rsidRPr="00E65416">
        <w:rPr>
          <w:rFonts w:ascii="宋体" w:hAnsi="宋体" w:cs="宋体" w:hint="eastAsia"/>
        </w:rPr>
        <w:t>金融工程与风险管理</w:t>
      </w:r>
      <w:r w:rsidRPr="00E65416">
        <w:rPr>
          <w:rFonts w:ascii="宋体" w:hAnsi="宋体" w:cs="宋体" w:hint="eastAsia"/>
        </w:rPr>
        <w:t>、</w:t>
      </w:r>
      <w:r w:rsidR="00C934EE" w:rsidRPr="00E65416">
        <w:rPr>
          <w:rFonts w:ascii="宋体" w:hAnsi="宋体" w:cs="宋体" w:hint="eastAsia"/>
        </w:rPr>
        <w:t>金融</w:t>
      </w:r>
      <w:r w:rsidR="00D6376D" w:rsidRPr="00E65416">
        <w:rPr>
          <w:rFonts w:ascii="宋体" w:hAnsi="宋体" w:cs="宋体" w:hint="eastAsia"/>
        </w:rPr>
        <w:t>科技</w:t>
      </w:r>
      <w:r w:rsidRPr="00E65416">
        <w:rPr>
          <w:rFonts w:ascii="宋体" w:hAnsi="宋体" w:cs="宋体" w:hint="eastAsia"/>
        </w:rPr>
        <w:t>，每个方向的具体研究内容如下：</w:t>
      </w:r>
      <w:r w:rsidR="00C934EE" w:rsidRPr="00E65416">
        <w:rPr>
          <w:rFonts w:ascii="宋体" w:hAnsi="宋体" w:cs="宋体"/>
        </w:rPr>
        <w:t xml:space="preserve"> </w:t>
      </w:r>
    </w:p>
    <w:p w:rsidR="00893D43" w:rsidRPr="00E65416" w:rsidRDefault="00893D43" w:rsidP="00CA0109">
      <w:pPr>
        <w:spacing w:line="360" w:lineRule="auto"/>
        <w:ind w:firstLineChars="200" w:firstLine="422"/>
        <w:jc w:val="left"/>
        <w:rPr>
          <w:rFonts w:ascii="宋体" w:hAnsi="宋体" w:cs="宋体"/>
          <w:b/>
        </w:rPr>
      </w:pPr>
      <w:r w:rsidRPr="00E65416">
        <w:rPr>
          <w:rFonts w:ascii="宋体" w:hAnsi="宋体" w:cs="宋体"/>
          <w:b/>
        </w:rPr>
        <w:t>1</w:t>
      </w:r>
      <w:r w:rsidRPr="00E65416">
        <w:rPr>
          <w:rFonts w:ascii="宋体" w:hAnsi="宋体" w:cs="宋体" w:hint="eastAsia"/>
          <w:b/>
        </w:rPr>
        <w:t>．金融市场与投资分析</w:t>
      </w:r>
    </w:p>
    <w:p w:rsidR="00893D43" w:rsidRPr="00E65416" w:rsidRDefault="00893D43" w:rsidP="00893D43">
      <w:pPr>
        <w:spacing w:line="360" w:lineRule="auto"/>
        <w:ind w:firstLineChars="200" w:firstLine="420"/>
        <w:jc w:val="left"/>
        <w:rPr>
          <w:rFonts w:ascii="宋体"/>
        </w:rPr>
      </w:pPr>
      <w:proofErr w:type="gramStart"/>
      <w:r w:rsidRPr="00E65416">
        <w:rPr>
          <w:rFonts w:ascii="宋体" w:hAnsi="宋体" w:cs="宋体" w:hint="eastAsia"/>
        </w:rPr>
        <w:t>本方向</w:t>
      </w:r>
      <w:proofErr w:type="gramEnd"/>
      <w:r w:rsidRPr="00E65416">
        <w:rPr>
          <w:rFonts w:ascii="宋体" w:hAnsi="宋体" w:cs="宋体" w:hint="eastAsia"/>
        </w:rPr>
        <w:t>突出金融理论与政策、金融市场与投资学领域的特色，紧密结合金融经济社会发展和经济体制改革进程，将货币金融理论与政策研究的前沿性与区域经济金融发展联系在一起，同时将金融市场发展与金融投资学的前沿研究结合，并以货币金融政策理论与应用、金融市场与投资学、内外均衡理论与实践、国际金融理论、农村金融（含合作金融）、中小企业金融与中小金融机构组织体系等领域为研究重心，在继承和发扬传统中形成金融理论与政策研究的特色。</w:t>
      </w:r>
    </w:p>
    <w:p w:rsidR="00893D43" w:rsidRPr="00E65416" w:rsidRDefault="00893D43" w:rsidP="00CA0109">
      <w:pPr>
        <w:spacing w:line="360" w:lineRule="auto"/>
        <w:ind w:firstLineChars="200" w:firstLine="422"/>
        <w:jc w:val="left"/>
        <w:rPr>
          <w:rFonts w:ascii="宋体"/>
          <w:b/>
          <w:kern w:val="0"/>
        </w:rPr>
      </w:pPr>
      <w:r w:rsidRPr="00E65416">
        <w:rPr>
          <w:rFonts w:ascii="宋体" w:hAnsi="宋体" w:cs="宋体"/>
          <w:b/>
        </w:rPr>
        <w:t>2</w:t>
      </w:r>
      <w:r w:rsidRPr="00E65416">
        <w:rPr>
          <w:rFonts w:ascii="宋体" w:hAnsi="宋体" w:cs="宋体" w:hint="eastAsia"/>
          <w:b/>
        </w:rPr>
        <w:t>．金融企业与商业银行管理</w:t>
      </w:r>
    </w:p>
    <w:p w:rsidR="00893D43" w:rsidRPr="00E65416" w:rsidRDefault="00893D43" w:rsidP="00893D43">
      <w:pPr>
        <w:spacing w:line="360" w:lineRule="auto"/>
        <w:ind w:firstLineChars="200" w:firstLine="420"/>
        <w:jc w:val="left"/>
        <w:rPr>
          <w:rFonts w:ascii="宋体"/>
        </w:rPr>
      </w:pPr>
      <w:proofErr w:type="gramStart"/>
      <w:r w:rsidRPr="00E65416">
        <w:rPr>
          <w:rFonts w:ascii="宋体" w:hAnsi="宋体" w:cs="宋体" w:hint="eastAsia"/>
        </w:rPr>
        <w:t>本方向</w:t>
      </w:r>
      <w:proofErr w:type="gramEnd"/>
      <w:r w:rsidRPr="00E65416">
        <w:rPr>
          <w:rFonts w:ascii="宋体" w:hAnsi="宋体" w:cs="宋体" w:hint="eastAsia"/>
        </w:rPr>
        <w:t>突出金融企业特别是商业银行管理特色，紧密结合我国金融企业改革进程，将银行经营管理理论研究的前沿性与实际相结合，并以金融企业风险管理、银行资产负债管理、银行经营绩效评价、银行资产风险控制、银行综合经营、银行核心竞争力、金融产品（服务）创新及定价等领域为研究重心。</w:t>
      </w:r>
    </w:p>
    <w:p w:rsidR="00893D43" w:rsidRPr="00E65416" w:rsidRDefault="00893D43" w:rsidP="00CA0109">
      <w:pPr>
        <w:spacing w:line="360" w:lineRule="auto"/>
        <w:ind w:firstLineChars="200" w:firstLine="422"/>
        <w:jc w:val="left"/>
        <w:rPr>
          <w:rFonts w:ascii="宋体" w:hAnsi="宋体" w:cs="宋体"/>
          <w:b/>
        </w:rPr>
      </w:pPr>
      <w:r w:rsidRPr="00E65416">
        <w:rPr>
          <w:rFonts w:ascii="宋体" w:hAnsi="宋体" w:cs="宋体"/>
          <w:b/>
        </w:rPr>
        <w:t>3.</w:t>
      </w:r>
      <w:r w:rsidR="00C934EE" w:rsidRPr="00E65416">
        <w:rPr>
          <w:rFonts w:ascii="宋体" w:hAnsi="宋体" w:cs="宋体" w:hint="eastAsia"/>
          <w:b/>
        </w:rPr>
        <w:t>金融工程与风险管理</w:t>
      </w:r>
    </w:p>
    <w:p w:rsidR="00893D43" w:rsidRPr="00E65416" w:rsidRDefault="00893D43" w:rsidP="00893D43">
      <w:pPr>
        <w:spacing w:line="360" w:lineRule="auto"/>
        <w:ind w:firstLineChars="200" w:firstLine="420"/>
        <w:jc w:val="left"/>
        <w:rPr>
          <w:rFonts w:ascii="宋体" w:hAnsi="宋体" w:cs="宋体"/>
        </w:rPr>
      </w:pPr>
      <w:proofErr w:type="gramStart"/>
      <w:r w:rsidRPr="00E65416">
        <w:rPr>
          <w:rFonts w:ascii="宋体" w:hAnsi="宋体" w:cs="宋体" w:hint="eastAsia"/>
        </w:rPr>
        <w:t>本方向</w:t>
      </w:r>
      <w:proofErr w:type="gramEnd"/>
      <w:r w:rsidRPr="00E65416">
        <w:rPr>
          <w:rFonts w:ascii="宋体" w:hAnsi="宋体" w:cs="宋体" w:hint="eastAsia"/>
        </w:rPr>
        <w:t>突出金融衍生品定价的特色和优势，紧密结合我国金融市场的改革进程，将金融工程理论研究的前沿性与我国金融发展实际结合起来，并以资产组合管理理论、资产定价理论与实践、金融风险管理理论、资产证券化技术、金融产品设计理论等领域为研究重心，</w:t>
      </w:r>
      <w:r w:rsidR="00044BA2" w:rsidRPr="00E65416">
        <w:rPr>
          <w:rFonts w:ascii="宋体" w:hAnsi="宋体" w:cs="宋体" w:hint="eastAsia"/>
        </w:rPr>
        <w:t>偏重于数学方法，</w:t>
      </w:r>
      <w:r w:rsidRPr="00E65416">
        <w:rPr>
          <w:rFonts w:ascii="宋体" w:hAnsi="宋体" w:cs="宋体" w:hint="eastAsia"/>
        </w:rPr>
        <w:t>在继承和发扬传统中形成金融工程理论与技术的研究特色。</w:t>
      </w:r>
    </w:p>
    <w:p w:rsidR="00893D43" w:rsidRPr="00E65416" w:rsidRDefault="00893D43" w:rsidP="00CA0109">
      <w:pPr>
        <w:spacing w:line="360" w:lineRule="auto"/>
        <w:ind w:firstLineChars="200" w:firstLine="422"/>
        <w:jc w:val="left"/>
        <w:rPr>
          <w:rFonts w:ascii="宋体" w:hAnsi="宋体" w:cs="宋体"/>
          <w:b/>
        </w:rPr>
      </w:pPr>
      <w:r w:rsidRPr="00E65416">
        <w:rPr>
          <w:rFonts w:ascii="宋体" w:hAnsi="宋体" w:cs="宋体"/>
          <w:b/>
        </w:rPr>
        <w:t>4</w:t>
      </w:r>
      <w:r w:rsidRPr="00E65416">
        <w:rPr>
          <w:rFonts w:ascii="宋体" w:hAnsi="宋体" w:cs="宋体" w:hint="eastAsia"/>
          <w:b/>
        </w:rPr>
        <w:t>．</w:t>
      </w:r>
      <w:r w:rsidR="00C934EE" w:rsidRPr="00E65416">
        <w:rPr>
          <w:rFonts w:ascii="宋体" w:hAnsi="宋体" w:cs="宋体" w:hint="eastAsia"/>
          <w:b/>
        </w:rPr>
        <w:t>金融</w:t>
      </w:r>
      <w:r w:rsidR="00ED3A1D" w:rsidRPr="00E65416">
        <w:rPr>
          <w:rFonts w:ascii="宋体" w:hAnsi="宋体" w:cs="宋体" w:hint="eastAsia"/>
          <w:b/>
        </w:rPr>
        <w:t>科技</w:t>
      </w:r>
    </w:p>
    <w:p w:rsidR="003B2642" w:rsidRPr="00E65416" w:rsidRDefault="00893D43" w:rsidP="008228A9">
      <w:pPr>
        <w:pStyle w:val="a4"/>
        <w:spacing w:line="360" w:lineRule="auto"/>
        <w:jc w:val="left"/>
        <w:rPr>
          <w:rFonts w:ascii="宋体" w:hAnsi="宋体" w:cs="宋体"/>
          <w:szCs w:val="24"/>
        </w:rPr>
      </w:pPr>
      <w:proofErr w:type="gramStart"/>
      <w:r w:rsidRPr="00E65416">
        <w:rPr>
          <w:rFonts w:ascii="宋体" w:hAnsi="宋体" w:cs="宋体" w:hint="eastAsia"/>
          <w:szCs w:val="24"/>
        </w:rPr>
        <w:t>本方向</w:t>
      </w:r>
      <w:proofErr w:type="gramEnd"/>
      <w:r w:rsidRPr="00E65416">
        <w:rPr>
          <w:rFonts w:ascii="宋体" w:hAnsi="宋体" w:cs="宋体" w:hint="eastAsia"/>
          <w:szCs w:val="24"/>
        </w:rPr>
        <w:t>突出</w:t>
      </w:r>
      <w:r w:rsidR="00AA593D" w:rsidRPr="00E65416">
        <w:rPr>
          <w:rFonts w:ascii="宋体" w:hAnsi="宋体" w:cs="宋体" w:hint="eastAsia"/>
          <w:szCs w:val="24"/>
        </w:rPr>
        <w:t>人工智能、大数据、云计算、区块链、物联网等创新科学技术在金融领域中的应用</w:t>
      </w:r>
      <w:r w:rsidRPr="00E65416">
        <w:rPr>
          <w:rFonts w:ascii="宋体" w:hAnsi="宋体" w:cs="宋体" w:hint="eastAsia"/>
          <w:szCs w:val="24"/>
        </w:rPr>
        <w:t>，学习</w:t>
      </w:r>
      <w:r w:rsidR="004E5D9B" w:rsidRPr="00E65416">
        <w:rPr>
          <w:rFonts w:ascii="宋体" w:hAnsi="宋体" w:cs="宋体" w:hint="eastAsia"/>
          <w:szCs w:val="24"/>
        </w:rPr>
        <w:t>和</w:t>
      </w:r>
      <w:r w:rsidRPr="00E65416">
        <w:rPr>
          <w:rFonts w:ascii="宋体" w:hAnsi="宋体" w:cs="宋体" w:hint="eastAsia"/>
          <w:szCs w:val="24"/>
        </w:rPr>
        <w:t>研究</w:t>
      </w:r>
      <w:r w:rsidR="00AA593D" w:rsidRPr="00E65416">
        <w:rPr>
          <w:rFonts w:ascii="宋体" w:hAnsi="宋体" w:cs="宋体" w:hint="eastAsia"/>
          <w:szCs w:val="24"/>
        </w:rPr>
        <w:t>金融科技的理论和应用，</w:t>
      </w:r>
      <w:r w:rsidR="0084666B" w:rsidRPr="00E65416">
        <w:rPr>
          <w:rFonts w:ascii="宋体" w:hAnsi="宋体" w:cs="宋体" w:hint="eastAsia"/>
          <w:szCs w:val="24"/>
        </w:rPr>
        <w:t>掌握运用科技手段实现金融数据分析、信用征集、</w:t>
      </w:r>
      <w:r w:rsidR="00660D52" w:rsidRPr="00E65416">
        <w:rPr>
          <w:rFonts w:ascii="宋体" w:hAnsi="宋体" w:cs="宋体" w:hint="eastAsia"/>
          <w:szCs w:val="24"/>
        </w:rPr>
        <w:t>精准营销、</w:t>
      </w:r>
      <w:r w:rsidR="0084666B" w:rsidRPr="00E65416">
        <w:rPr>
          <w:rFonts w:ascii="宋体" w:hAnsi="宋体" w:cs="宋体" w:hint="eastAsia"/>
          <w:szCs w:val="24"/>
        </w:rPr>
        <w:t>风险防范、智能</w:t>
      </w:r>
      <w:proofErr w:type="gramStart"/>
      <w:r w:rsidR="0084666B" w:rsidRPr="00E65416">
        <w:rPr>
          <w:rFonts w:ascii="宋体" w:hAnsi="宋体" w:cs="宋体" w:hint="eastAsia"/>
          <w:szCs w:val="24"/>
        </w:rPr>
        <w:t>投顾等</w:t>
      </w:r>
      <w:proofErr w:type="gramEnd"/>
      <w:r w:rsidRPr="00E65416">
        <w:rPr>
          <w:rFonts w:ascii="宋体" w:hAnsi="宋体" w:cs="宋体" w:hint="eastAsia"/>
          <w:szCs w:val="24"/>
        </w:rPr>
        <w:t>。</w:t>
      </w:r>
      <w:bookmarkEnd w:id="3"/>
      <w:bookmarkEnd w:id="4"/>
    </w:p>
    <w:p w:rsidR="00893D43" w:rsidRPr="00E65416" w:rsidRDefault="00893D43" w:rsidP="003D7A87">
      <w:pPr>
        <w:widowControl/>
        <w:adjustRightInd w:val="0"/>
        <w:snapToGrid w:val="0"/>
        <w:spacing w:beforeLines="50" w:before="156" w:afterLines="50" w:after="156" w:line="560" w:lineRule="exact"/>
        <w:ind w:firstLineChars="200" w:firstLine="482"/>
        <w:jc w:val="left"/>
        <w:rPr>
          <w:rFonts w:asciiTheme="majorEastAsia" w:eastAsiaTheme="majorEastAsia" w:hAnsiTheme="majorEastAsia" w:cs="宋体"/>
          <w:b/>
          <w:kern w:val="0"/>
          <w:sz w:val="24"/>
        </w:rPr>
      </w:pPr>
      <w:r w:rsidRPr="00E65416">
        <w:rPr>
          <w:rFonts w:asciiTheme="majorEastAsia" w:eastAsiaTheme="majorEastAsia" w:hAnsiTheme="majorEastAsia" w:cs="宋体" w:hint="eastAsia"/>
          <w:b/>
          <w:kern w:val="0"/>
          <w:sz w:val="24"/>
        </w:rPr>
        <w:t>四、学制与学习年限</w:t>
      </w:r>
    </w:p>
    <w:p w:rsidR="00893D43" w:rsidRPr="00E65416" w:rsidRDefault="00893D43" w:rsidP="00893D43">
      <w:pPr>
        <w:spacing w:line="360" w:lineRule="auto"/>
        <w:ind w:firstLineChars="200" w:firstLine="420"/>
        <w:rPr>
          <w:rFonts w:ascii="宋体"/>
        </w:rPr>
      </w:pPr>
      <w:bookmarkStart w:id="5" w:name="OLE_LINK7"/>
      <w:bookmarkStart w:id="6" w:name="OLE_LINK8"/>
      <w:r w:rsidRPr="00E65416">
        <w:rPr>
          <w:rFonts w:ascii="宋体" w:hAnsi="宋体" w:cs="宋体" w:hint="eastAsia"/>
        </w:rPr>
        <w:lastRenderedPageBreak/>
        <w:t>课程学习实行学分制</w:t>
      </w:r>
      <w:r w:rsidRPr="00E65416">
        <w:rPr>
          <w:rFonts w:ascii="宋体" w:cs="宋体"/>
        </w:rPr>
        <w:t>,</w:t>
      </w:r>
      <w:r w:rsidRPr="00E65416">
        <w:rPr>
          <w:rFonts w:ascii="宋体" w:hAnsi="宋体" w:cs="宋体" w:hint="eastAsia"/>
        </w:rPr>
        <w:t>学制</w:t>
      </w:r>
      <w:r w:rsidR="008062E9" w:rsidRPr="00E65416">
        <w:rPr>
          <w:rFonts w:ascii="宋体" w:hAnsi="宋体" w:cs="宋体" w:hint="eastAsia"/>
        </w:rPr>
        <w:t>2</w:t>
      </w:r>
      <w:r w:rsidRPr="00E65416">
        <w:rPr>
          <w:rFonts w:ascii="宋体" w:hAnsi="宋体" w:cs="宋体" w:hint="eastAsia"/>
        </w:rPr>
        <w:t>年，学习有效时间最多不超过</w:t>
      </w:r>
      <w:r w:rsidR="008062E9" w:rsidRPr="00E65416">
        <w:rPr>
          <w:rFonts w:ascii="宋体" w:hAnsi="宋体" w:cs="宋体" w:hint="eastAsia"/>
          <w:b/>
        </w:rPr>
        <w:t>4</w:t>
      </w:r>
      <w:r w:rsidRPr="00E65416">
        <w:rPr>
          <w:rFonts w:ascii="宋体" w:hAnsi="宋体" w:cs="宋体" w:hint="eastAsia"/>
        </w:rPr>
        <w:t>年</w:t>
      </w:r>
      <w:r w:rsidR="00A83CBD" w:rsidRPr="00E65416">
        <w:rPr>
          <w:rFonts w:ascii="宋体" w:cs="宋体" w:hint="eastAsia"/>
        </w:rPr>
        <w:t>。学位</w:t>
      </w:r>
      <w:r w:rsidR="00A83CBD" w:rsidRPr="00E65416">
        <w:rPr>
          <w:rFonts w:ascii="宋体" w:hAnsi="宋体" w:cs="宋体" w:hint="eastAsia"/>
        </w:rPr>
        <w:t>论文自开题报告通过后工作</w:t>
      </w:r>
      <w:r w:rsidRPr="00E65416">
        <w:rPr>
          <w:rFonts w:ascii="宋体" w:hAnsi="宋体" w:cs="宋体" w:hint="eastAsia"/>
        </w:rPr>
        <w:t>不少于</w:t>
      </w:r>
      <w:r w:rsidR="00A83CBD" w:rsidRPr="00E65416">
        <w:rPr>
          <w:rFonts w:ascii="宋体" w:hAnsi="宋体" w:cs="宋体" w:hint="eastAsia"/>
          <w:b/>
        </w:rPr>
        <w:t>8</w:t>
      </w:r>
      <w:r w:rsidR="00A83CBD" w:rsidRPr="00E65416">
        <w:rPr>
          <w:rFonts w:ascii="宋体" w:hAnsi="宋体" w:cs="宋体" w:hint="eastAsia"/>
        </w:rPr>
        <w:t>个月</w:t>
      </w:r>
      <w:r w:rsidRPr="00E65416">
        <w:rPr>
          <w:rFonts w:ascii="宋体" w:hAnsi="宋体" w:cs="宋体" w:hint="eastAsia"/>
        </w:rPr>
        <w:t>。</w:t>
      </w:r>
    </w:p>
    <w:p w:rsidR="00893D43" w:rsidRPr="00E65416" w:rsidRDefault="00893D43" w:rsidP="00520B60">
      <w:pPr>
        <w:spacing w:line="360" w:lineRule="auto"/>
        <w:ind w:firstLineChars="200" w:firstLine="420"/>
        <w:rPr>
          <w:rFonts w:ascii="宋体" w:hAnsi="宋体" w:cs="宋体"/>
        </w:rPr>
      </w:pPr>
      <w:r w:rsidRPr="00E65416">
        <w:rPr>
          <w:rFonts w:ascii="宋体" w:hAnsi="宋体" w:cs="宋体" w:hint="eastAsia"/>
        </w:rPr>
        <w:t>学员必须修满规定的学分并通过论文答辩方能毕业，提前完成课程学习者，按研究生院培养处提前答辩的相关规定执行。</w:t>
      </w:r>
      <w:r w:rsidR="00FB3196" w:rsidRPr="00E65416">
        <w:rPr>
          <w:rFonts w:ascii="宋体" w:hAnsi="宋体" w:cs="宋体" w:hint="eastAsia"/>
        </w:rPr>
        <w:t>四</w:t>
      </w:r>
      <w:r w:rsidRPr="00E65416">
        <w:rPr>
          <w:rFonts w:ascii="宋体" w:hAnsi="宋体" w:cs="宋体" w:hint="eastAsia"/>
        </w:rPr>
        <w:t>年仍不能毕业者按研究生院相关规定处理。</w:t>
      </w:r>
    </w:p>
    <w:bookmarkEnd w:id="5"/>
    <w:bookmarkEnd w:id="6"/>
    <w:p w:rsidR="00893D43" w:rsidRPr="00E65416" w:rsidRDefault="008F7B36" w:rsidP="003D7A87">
      <w:pPr>
        <w:widowControl/>
        <w:adjustRightInd w:val="0"/>
        <w:snapToGrid w:val="0"/>
        <w:spacing w:beforeLines="50" w:before="156" w:afterLines="50" w:after="156" w:line="560" w:lineRule="exact"/>
        <w:ind w:firstLineChars="200" w:firstLine="482"/>
        <w:jc w:val="left"/>
        <w:rPr>
          <w:rFonts w:asciiTheme="majorEastAsia" w:eastAsiaTheme="majorEastAsia" w:hAnsiTheme="majorEastAsia" w:cs="宋体"/>
          <w:b/>
          <w:kern w:val="0"/>
          <w:sz w:val="24"/>
        </w:rPr>
      </w:pPr>
      <w:r w:rsidRPr="00E65416">
        <w:rPr>
          <w:rFonts w:asciiTheme="majorEastAsia" w:eastAsiaTheme="majorEastAsia" w:hAnsiTheme="majorEastAsia" w:cs="宋体" w:hint="eastAsia"/>
          <w:b/>
          <w:kern w:val="0"/>
          <w:sz w:val="24"/>
        </w:rPr>
        <w:t>五</w:t>
      </w:r>
      <w:r w:rsidR="00893D43" w:rsidRPr="00E65416">
        <w:rPr>
          <w:rFonts w:asciiTheme="majorEastAsia" w:eastAsiaTheme="majorEastAsia" w:hAnsiTheme="majorEastAsia" w:cs="宋体" w:hint="eastAsia"/>
          <w:b/>
          <w:kern w:val="0"/>
          <w:sz w:val="24"/>
        </w:rPr>
        <w:t>、学分要求</w:t>
      </w:r>
    </w:p>
    <w:p w:rsidR="00893D43" w:rsidRPr="00E65416" w:rsidRDefault="00893D43" w:rsidP="00893D43">
      <w:pPr>
        <w:spacing w:line="360" w:lineRule="auto"/>
        <w:ind w:firstLineChars="200" w:firstLine="420"/>
        <w:rPr>
          <w:rFonts w:ascii="宋体" w:hAnsi="宋体" w:cs="宋体"/>
        </w:rPr>
      </w:pPr>
      <w:bookmarkStart w:id="7" w:name="OLE_LINK9"/>
      <w:bookmarkStart w:id="8" w:name="OLE_LINK10"/>
      <w:r w:rsidRPr="00E65416">
        <w:rPr>
          <w:rFonts w:ascii="宋体" w:hAnsi="宋体" w:cs="宋体"/>
        </w:rPr>
        <w:t>MF</w:t>
      </w:r>
      <w:r w:rsidRPr="00E65416">
        <w:rPr>
          <w:rFonts w:ascii="宋体" w:hAnsi="宋体" w:cs="宋体" w:hint="eastAsia"/>
        </w:rPr>
        <w:t>项目课程设置包括必修课（公共基础课、专业学位课）、专业方向选修课和必修环节。学生须修满至少45学分，其中公共基础课</w:t>
      </w:r>
      <w:r w:rsidRPr="00E65416">
        <w:rPr>
          <w:rFonts w:ascii="宋体" w:hAnsi="宋体" w:cs="宋体"/>
        </w:rPr>
        <w:t>5</w:t>
      </w:r>
      <w:r w:rsidRPr="00E65416">
        <w:rPr>
          <w:rFonts w:ascii="宋体" w:hAnsi="宋体" w:cs="宋体" w:hint="eastAsia"/>
        </w:rPr>
        <w:t>学分，专业学位课18学分，专业选修课至少</w:t>
      </w:r>
      <w:r w:rsidRPr="00E65416">
        <w:rPr>
          <w:rFonts w:ascii="宋体" w:hAnsi="宋体" w:cs="宋体"/>
        </w:rPr>
        <w:t>12</w:t>
      </w:r>
      <w:r w:rsidRPr="00E65416">
        <w:rPr>
          <w:rFonts w:ascii="宋体" w:hAnsi="宋体" w:cs="宋体" w:hint="eastAsia"/>
        </w:rPr>
        <w:t>学分，必修环节10学分。（具体课程</w:t>
      </w:r>
      <w:proofErr w:type="gramStart"/>
      <w:r w:rsidRPr="00E65416">
        <w:rPr>
          <w:rFonts w:ascii="宋体" w:hAnsi="宋体" w:cs="宋体" w:hint="eastAsia"/>
        </w:rPr>
        <w:t>设置见</w:t>
      </w:r>
      <w:proofErr w:type="gramEnd"/>
      <w:r w:rsidRPr="00E65416">
        <w:rPr>
          <w:rFonts w:ascii="宋体" w:hAnsi="宋体" w:cs="宋体" w:hint="eastAsia"/>
        </w:rPr>
        <w:t>附件）</w:t>
      </w:r>
    </w:p>
    <w:p w:rsidR="00195B9C" w:rsidRPr="00E65416" w:rsidRDefault="00195B9C" w:rsidP="00893D43">
      <w:pPr>
        <w:spacing w:line="360" w:lineRule="auto"/>
        <w:ind w:firstLineChars="200" w:firstLine="420"/>
        <w:rPr>
          <w:rFonts w:ascii="宋体" w:hAnsi="宋体" w:cs="宋体"/>
        </w:rPr>
      </w:pPr>
      <w:r w:rsidRPr="00E65416">
        <w:rPr>
          <w:rFonts w:ascii="宋体" w:hAnsi="宋体" w:cs="宋体" w:hint="eastAsia"/>
        </w:rPr>
        <w:t>其中，必修环节的学分选修如下：</w:t>
      </w:r>
    </w:p>
    <w:p w:rsidR="00195B9C" w:rsidRPr="00E65416" w:rsidRDefault="00195B9C" w:rsidP="00A21F2A">
      <w:pPr>
        <w:spacing w:line="460" w:lineRule="exact"/>
        <w:ind w:firstLineChars="200" w:firstLine="422"/>
        <w:rPr>
          <w:rFonts w:ascii="宋体" w:hAnsi="宋体" w:cs="宋体"/>
        </w:rPr>
      </w:pPr>
      <w:r w:rsidRPr="00E65416">
        <w:rPr>
          <w:rFonts w:ascii="宋体" w:hAnsi="宋体" w:cs="宋体" w:hint="eastAsia"/>
          <w:b/>
        </w:rPr>
        <w:t>专业实践（6学分）</w:t>
      </w:r>
      <w:r w:rsidRPr="00E65416">
        <w:rPr>
          <w:rFonts w:ascii="宋体" w:hAnsi="宋体" w:cs="宋体" w:hint="eastAsia"/>
        </w:rPr>
        <w:t>，</w:t>
      </w:r>
      <w:r w:rsidR="001E4DEA" w:rsidRPr="00E65416">
        <w:rPr>
          <w:rFonts w:ascii="宋体" w:hAnsi="宋体" w:cs="宋体" w:hint="eastAsia"/>
        </w:rPr>
        <w:t>要求学生</w:t>
      </w:r>
      <w:r w:rsidRPr="00E65416">
        <w:rPr>
          <w:rFonts w:ascii="宋体" w:hAnsi="宋体" w:cs="宋体" w:hint="eastAsia"/>
        </w:rPr>
        <w:t>：1、至少参加1次市级</w:t>
      </w:r>
      <w:r w:rsidR="00A21F2A" w:rsidRPr="00E65416">
        <w:rPr>
          <w:rFonts w:ascii="宋体" w:hAnsi="宋体" w:cs="宋体" w:hint="eastAsia"/>
        </w:rPr>
        <w:t>或</w:t>
      </w:r>
      <w:r w:rsidRPr="00E65416">
        <w:rPr>
          <w:rFonts w:ascii="宋体" w:hAnsi="宋体" w:cs="宋体" w:hint="eastAsia"/>
        </w:rPr>
        <w:t>以上金融类竞赛</w:t>
      </w:r>
      <w:r w:rsidR="004D1534" w:rsidRPr="00E65416">
        <w:rPr>
          <w:rFonts w:ascii="宋体" w:hAnsi="宋体" w:cs="宋体" w:hint="eastAsia"/>
        </w:rPr>
        <w:t>，或者完成CFA道德规范与标准视频学习</w:t>
      </w:r>
      <w:r w:rsidRPr="00E65416">
        <w:rPr>
          <w:rFonts w:ascii="宋体" w:hAnsi="宋体" w:cs="宋体" w:hint="eastAsia"/>
        </w:rPr>
        <w:t>；2、至少参加1次课程式实务系列讲座，并完成不少于800字的《学习报告》；3、在金融机构或政府及企事业单位的金融工作岗位进行不少于6个月的实习实践，并提交《同济大学金融硕士（MF）学生实习情况登记表》1份，《同济大学金融硕士（MF）学生实习月报》，《同济大学金融硕士（MF）学生实习实践总结报告》1份。</w:t>
      </w:r>
    </w:p>
    <w:p w:rsidR="00195B9C" w:rsidRPr="00E65416" w:rsidRDefault="00195B9C" w:rsidP="00A21F2A">
      <w:pPr>
        <w:spacing w:line="460" w:lineRule="exact"/>
        <w:ind w:firstLineChars="200" w:firstLine="422"/>
        <w:rPr>
          <w:rFonts w:ascii="宋体" w:hAnsi="宋体" w:cs="宋体"/>
        </w:rPr>
      </w:pPr>
      <w:r w:rsidRPr="00E65416">
        <w:rPr>
          <w:rFonts w:ascii="宋体" w:hAnsi="宋体" w:cs="宋体" w:hint="eastAsia"/>
          <w:b/>
        </w:rPr>
        <w:t>高等讲堂（2学分）</w:t>
      </w:r>
      <w:r w:rsidR="00A21F2A" w:rsidRPr="00E65416">
        <w:rPr>
          <w:rFonts w:ascii="宋体" w:hAnsi="宋体" w:cs="宋体" w:hint="eastAsia"/>
        </w:rPr>
        <w:t>，</w:t>
      </w:r>
      <w:r w:rsidR="001E4DEA" w:rsidRPr="00E65416">
        <w:rPr>
          <w:rFonts w:ascii="宋体" w:hAnsi="宋体" w:cs="宋体" w:hint="eastAsia"/>
        </w:rPr>
        <w:t>要求</w:t>
      </w:r>
      <w:r w:rsidRPr="00E65416">
        <w:rPr>
          <w:rFonts w:ascii="宋体" w:hAnsi="宋体" w:cs="宋体" w:hint="eastAsia"/>
        </w:rPr>
        <w:t>学生参加学校、学院举办的高水平公开讲座16次以上（8次校级高等讲堂，8次院级高等讲堂），并及时提交</w:t>
      </w:r>
      <w:r w:rsidR="00B24FF6" w:rsidRPr="00E65416">
        <w:rPr>
          <w:rFonts w:ascii="宋体" w:hAnsi="宋体" w:cs="宋体" w:hint="eastAsia"/>
        </w:rPr>
        <w:t>各</w:t>
      </w:r>
      <w:r w:rsidRPr="00E65416">
        <w:rPr>
          <w:rFonts w:ascii="宋体" w:hAnsi="宋体" w:cs="宋体" w:hint="eastAsia"/>
        </w:rPr>
        <w:t>讲座报告，每篇不少于200字。</w:t>
      </w:r>
    </w:p>
    <w:p w:rsidR="00195B9C" w:rsidRPr="00E65416" w:rsidRDefault="00195B9C" w:rsidP="00A21F2A">
      <w:pPr>
        <w:spacing w:line="460" w:lineRule="exact"/>
        <w:ind w:firstLineChars="200" w:firstLine="422"/>
        <w:rPr>
          <w:rFonts w:ascii="宋体" w:hAnsi="宋体" w:cs="宋体"/>
        </w:rPr>
      </w:pPr>
      <w:r w:rsidRPr="00E65416">
        <w:rPr>
          <w:rFonts w:ascii="宋体" w:hAnsi="宋体" w:cs="宋体" w:hint="eastAsia"/>
          <w:b/>
        </w:rPr>
        <w:t>研究生学术行为规范（1学分）</w:t>
      </w:r>
      <w:r w:rsidRPr="00E65416">
        <w:rPr>
          <w:rFonts w:ascii="宋体" w:hAnsi="宋体" w:cs="宋体" w:hint="eastAsia"/>
        </w:rPr>
        <w:t>，</w:t>
      </w:r>
      <w:r w:rsidR="001E4DEA" w:rsidRPr="00E65416">
        <w:rPr>
          <w:rFonts w:ascii="宋体" w:hAnsi="宋体" w:cs="宋体" w:hint="eastAsia"/>
        </w:rPr>
        <w:t>要求</w:t>
      </w:r>
      <w:r w:rsidRPr="00E65416">
        <w:rPr>
          <w:rFonts w:ascii="宋体" w:hAnsi="宋体" w:cs="宋体" w:hint="eastAsia"/>
        </w:rPr>
        <w:t>学生入学时在学校研究生教育管理系统中参加有关研究生学术行为规范的线上学习和测试，通过测试即可获得该环节学分。</w:t>
      </w:r>
    </w:p>
    <w:p w:rsidR="00195B9C" w:rsidRPr="00E65416" w:rsidRDefault="00195B9C" w:rsidP="003852AC">
      <w:pPr>
        <w:spacing w:line="460" w:lineRule="exact"/>
        <w:ind w:firstLineChars="200" w:firstLine="422"/>
        <w:rPr>
          <w:rFonts w:ascii="宋体"/>
        </w:rPr>
      </w:pPr>
      <w:r w:rsidRPr="00E65416">
        <w:rPr>
          <w:rFonts w:hAnsi="宋体" w:hint="eastAsia"/>
          <w:b/>
        </w:rPr>
        <w:t>论文选题（</w:t>
      </w:r>
      <w:r w:rsidRPr="00E65416">
        <w:rPr>
          <w:rFonts w:hAnsi="宋体" w:hint="eastAsia"/>
          <w:b/>
        </w:rPr>
        <w:t>1</w:t>
      </w:r>
      <w:r w:rsidRPr="00E65416">
        <w:rPr>
          <w:rFonts w:hAnsi="宋体" w:hint="eastAsia"/>
          <w:b/>
        </w:rPr>
        <w:t>学分）</w:t>
      </w:r>
      <w:r w:rsidRPr="00E65416">
        <w:rPr>
          <w:rFonts w:hAnsi="宋体" w:hint="eastAsia"/>
        </w:rPr>
        <w:t>，</w:t>
      </w:r>
      <w:r w:rsidR="001E4DEA" w:rsidRPr="00E65416">
        <w:rPr>
          <w:rFonts w:hAnsi="宋体" w:hint="eastAsia"/>
        </w:rPr>
        <w:t>要求学生</w:t>
      </w:r>
      <w:r w:rsidR="004F499D" w:rsidRPr="00E65416">
        <w:rPr>
          <w:rFonts w:hAnsi="宋体" w:hint="eastAsia"/>
        </w:rPr>
        <w:t>参加《论文写作》课程</w:t>
      </w:r>
      <w:r w:rsidR="00E100F6" w:rsidRPr="00E65416">
        <w:rPr>
          <w:rFonts w:hAnsi="宋体" w:hint="eastAsia"/>
        </w:rPr>
        <w:t>（</w:t>
      </w:r>
      <w:r w:rsidR="00E100F6" w:rsidRPr="00E65416">
        <w:rPr>
          <w:rFonts w:hAnsi="宋体" w:hint="eastAsia"/>
        </w:rPr>
        <w:t>1</w:t>
      </w:r>
      <w:r w:rsidR="00E100F6" w:rsidRPr="00E65416">
        <w:rPr>
          <w:rFonts w:hAnsi="宋体" w:hint="eastAsia"/>
        </w:rPr>
        <w:t>学分）</w:t>
      </w:r>
      <w:r w:rsidR="004F499D" w:rsidRPr="00E65416">
        <w:rPr>
          <w:rFonts w:hAnsi="宋体" w:hint="eastAsia"/>
        </w:rPr>
        <w:t>，并提交论文开题报告，</w:t>
      </w:r>
      <w:r w:rsidRPr="00E65416">
        <w:rPr>
          <w:rFonts w:hAnsi="宋体" w:hint="eastAsia"/>
        </w:rPr>
        <w:t>通过开题答辩。</w:t>
      </w:r>
    </w:p>
    <w:p w:rsidR="008F7B36" w:rsidRPr="00E65416" w:rsidRDefault="00013894" w:rsidP="008F7B36">
      <w:pPr>
        <w:widowControl/>
        <w:adjustRightInd w:val="0"/>
        <w:snapToGrid w:val="0"/>
        <w:spacing w:beforeLines="50" w:before="156" w:afterLines="50" w:after="156" w:line="560" w:lineRule="exact"/>
        <w:ind w:firstLineChars="200" w:firstLine="482"/>
        <w:jc w:val="left"/>
        <w:rPr>
          <w:rFonts w:asciiTheme="majorEastAsia" w:eastAsiaTheme="majorEastAsia" w:hAnsiTheme="majorEastAsia" w:cs="宋体"/>
          <w:b/>
          <w:kern w:val="0"/>
          <w:sz w:val="24"/>
        </w:rPr>
      </w:pPr>
      <w:r w:rsidRPr="00E65416">
        <w:rPr>
          <w:rFonts w:asciiTheme="majorEastAsia" w:eastAsiaTheme="majorEastAsia" w:hAnsiTheme="majorEastAsia" w:cs="宋体" w:hint="eastAsia"/>
          <w:b/>
          <w:kern w:val="0"/>
          <w:sz w:val="24"/>
        </w:rPr>
        <w:t>六</w:t>
      </w:r>
      <w:r w:rsidR="008F7B36" w:rsidRPr="00E65416">
        <w:rPr>
          <w:rFonts w:asciiTheme="majorEastAsia" w:eastAsiaTheme="majorEastAsia" w:hAnsiTheme="majorEastAsia" w:cs="宋体" w:hint="eastAsia"/>
          <w:b/>
          <w:kern w:val="0"/>
          <w:sz w:val="24"/>
        </w:rPr>
        <w:t>、培养模式</w:t>
      </w:r>
    </w:p>
    <w:p w:rsidR="008F7B36" w:rsidRPr="00E65416" w:rsidRDefault="00327BEE" w:rsidP="008F7B36">
      <w:pPr>
        <w:spacing w:line="460" w:lineRule="exact"/>
        <w:ind w:firstLineChars="200" w:firstLine="420"/>
        <w:rPr>
          <w:rFonts w:ascii="宋体" w:hAnsi="宋体" w:cs="宋体"/>
        </w:rPr>
      </w:pPr>
      <w:r w:rsidRPr="00E65416">
        <w:rPr>
          <w:rFonts w:ascii="宋体" w:hAnsi="宋体" w:cs="宋体" w:hint="eastAsia"/>
        </w:rPr>
        <w:t>全日制非定向。</w:t>
      </w:r>
    </w:p>
    <w:bookmarkEnd w:id="7"/>
    <w:bookmarkEnd w:id="8"/>
    <w:p w:rsidR="00893D43" w:rsidRPr="00E65416" w:rsidRDefault="00893D43" w:rsidP="003D7A87">
      <w:pPr>
        <w:widowControl/>
        <w:adjustRightInd w:val="0"/>
        <w:snapToGrid w:val="0"/>
        <w:spacing w:beforeLines="50" w:before="156" w:afterLines="50" w:after="156" w:line="560" w:lineRule="exact"/>
        <w:ind w:firstLineChars="200" w:firstLine="482"/>
        <w:jc w:val="left"/>
        <w:rPr>
          <w:rFonts w:asciiTheme="majorEastAsia" w:eastAsiaTheme="majorEastAsia" w:hAnsiTheme="majorEastAsia" w:cs="宋体"/>
          <w:b/>
          <w:kern w:val="0"/>
          <w:sz w:val="24"/>
        </w:rPr>
      </w:pPr>
      <w:r w:rsidRPr="00E65416">
        <w:rPr>
          <w:rFonts w:asciiTheme="majorEastAsia" w:eastAsiaTheme="majorEastAsia" w:hAnsiTheme="majorEastAsia" w:cs="宋体" w:hint="eastAsia"/>
          <w:b/>
          <w:kern w:val="0"/>
          <w:sz w:val="24"/>
        </w:rPr>
        <w:t>七、论文工作</w:t>
      </w:r>
    </w:p>
    <w:p w:rsidR="00893D43" w:rsidRPr="00E65416" w:rsidRDefault="00893D43" w:rsidP="00247AFE">
      <w:pPr>
        <w:spacing w:line="360" w:lineRule="auto"/>
        <w:ind w:firstLineChars="200" w:firstLine="420"/>
        <w:rPr>
          <w:rFonts w:ascii="宋体"/>
        </w:rPr>
      </w:pPr>
      <w:bookmarkStart w:id="9" w:name="OLE_LINK11"/>
      <w:bookmarkStart w:id="10" w:name="OLE_LINK12"/>
      <w:bookmarkStart w:id="11" w:name="OLE_LINK13"/>
      <w:r w:rsidRPr="00E65416">
        <w:rPr>
          <w:rFonts w:ascii="宋体" w:hAnsi="宋体" w:cs="宋体" w:hint="eastAsia"/>
        </w:rPr>
        <w:t>学位论文是硕士研究生培养工作的重要组成部分，是对硕士研究生科学研究能力的全面培养和训练，是培养学生创新能力及综合运用所学知识发现问题、分析问题和解决问题能力的重要环节，也是衡量其能否获得学位的重要依据之一。</w:t>
      </w:r>
    </w:p>
    <w:p w:rsidR="00B10065" w:rsidRPr="00E65416" w:rsidRDefault="00893D43" w:rsidP="00247AFE">
      <w:pPr>
        <w:spacing w:line="360" w:lineRule="auto"/>
        <w:ind w:firstLine="570"/>
        <w:rPr>
          <w:rFonts w:ascii="宋体" w:hAnsi="宋体" w:cs="宋体"/>
        </w:rPr>
      </w:pPr>
      <w:r w:rsidRPr="00E65416">
        <w:rPr>
          <w:rFonts w:ascii="宋体" w:hAnsi="宋体" w:cs="宋体" w:hint="eastAsia"/>
        </w:rPr>
        <w:t>按培养方案的要求，攻读硕士学位研究生在学完全部课程并取得规定的学分后，进入</w:t>
      </w:r>
      <w:r w:rsidRPr="00E65416">
        <w:rPr>
          <w:rFonts w:ascii="宋体" w:hAnsi="宋体" w:cs="宋体" w:hint="eastAsia"/>
        </w:rPr>
        <w:lastRenderedPageBreak/>
        <w:t>论文工作阶段。</w:t>
      </w:r>
      <w:r w:rsidR="00B10065" w:rsidRPr="00E65416">
        <w:rPr>
          <w:rFonts w:ascii="宋体" w:hAnsi="宋体" w:cs="宋体" w:hint="eastAsia"/>
        </w:rPr>
        <w:t>用于学位论文工作的时间从论文开题报告通过之日起原则上不少于8个月。学位论文的基本要求与撰写格式按照《同济大学学位授予工作细则》执行。</w:t>
      </w:r>
    </w:p>
    <w:p w:rsidR="00EE31AA" w:rsidRPr="00E65416" w:rsidRDefault="00EE31AA" w:rsidP="00247AFE">
      <w:pPr>
        <w:spacing w:line="360" w:lineRule="auto"/>
        <w:ind w:firstLineChars="200" w:firstLine="420"/>
        <w:rPr>
          <w:rFonts w:ascii="宋体" w:hAnsi="宋体" w:cs="宋体"/>
        </w:rPr>
      </w:pPr>
      <w:r w:rsidRPr="00E65416">
        <w:rPr>
          <w:rFonts w:ascii="宋体" w:hAnsi="宋体" w:cs="宋体" w:hint="eastAsia"/>
        </w:rPr>
        <w:t>金融硕士学位论文的选题应紧密联系金融市场实践，符合金融硕士专业学位研究生指导性培养方案所确定的培养目标。学位论文应能反映学位申请者对投融资管理技能、金融交易技术与操作、金融产品设计与定价、财务分析、金融风险管理以及相关领域的知识技能的理解和掌握。学位论文的选题主要包括金融实践问题、金融交易模型、金融创新产品方案设计等三个方面。</w:t>
      </w:r>
    </w:p>
    <w:p w:rsidR="00EE31AA" w:rsidRPr="00E65416" w:rsidRDefault="00C41111" w:rsidP="00C41111">
      <w:pPr>
        <w:spacing w:line="460" w:lineRule="exact"/>
        <w:ind w:firstLineChars="200" w:firstLine="420"/>
        <w:rPr>
          <w:rFonts w:ascii="宋体" w:hAnsi="宋体" w:cs="宋体"/>
        </w:rPr>
      </w:pPr>
      <w:r w:rsidRPr="00E65416">
        <w:rPr>
          <w:rFonts w:ascii="宋体" w:hAnsi="宋体" w:cs="宋体" w:hint="eastAsia"/>
        </w:rPr>
        <w:t>为了进一步完善学位论文指导环节，提高学位论文质量，</w:t>
      </w:r>
      <w:r w:rsidR="003E36A8" w:rsidRPr="00E65416">
        <w:rPr>
          <w:rFonts w:ascii="宋体" w:hAnsi="宋体" w:cs="宋体" w:hint="eastAsia"/>
        </w:rPr>
        <w:t>在金融硕士学位论文</w:t>
      </w:r>
      <w:r w:rsidRPr="00E65416">
        <w:rPr>
          <w:rFonts w:ascii="宋体" w:hAnsi="宋体" w:cs="宋体" w:hint="eastAsia"/>
        </w:rPr>
        <w:t>授予工作中</w:t>
      </w:r>
      <w:r w:rsidR="003E36A8" w:rsidRPr="00E65416">
        <w:rPr>
          <w:rFonts w:ascii="宋体" w:hAnsi="宋体" w:cs="宋体" w:hint="eastAsia"/>
        </w:rPr>
        <w:t>，实行严格的学位论文质量把控程序，具体实施过程包括以下几方面</w:t>
      </w:r>
      <w:r w:rsidR="00E72C46" w:rsidRPr="00E65416">
        <w:rPr>
          <w:rFonts w:ascii="宋体" w:hAnsi="宋体" w:cs="宋体" w:hint="eastAsia"/>
        </w:rPr>
        <w:t>：</w:t>
      </w:r>
    </w:p>
    <w:p w:rsidR="00247AFE" w:rsidRPr="00E65416" w:rsidRDefault="00E72C46" w:rsidP="00247AFE">
      <w:pPr>
        <w:spacing w:line="460" w:lineRule="exact"/>
        <w:ind w:firstLineChars="200" w:firstLine="422"/>
        <w:rPr>
          <w:rFonts w:ascii="宋体" w:hAnsi="宋体" w:cs="宋体"/>
        </w:rPr>
      </w:pPr>
      <w:r w:rsidRPr="00E65416">
        <w:rPr>
          <w:rFonts w:ascii="宋体" w:hAnsi="宋体" w:cs="宋体" w:hint="eastAsia"/>
          <w:b/>
        </w:rPr>
        <w:t>1、</w:t>
      </w:r>
      <w:r w:rsidR="00FF1799" w:rsidRPr="00E65416">
        <w:rPr>
          <w:rFonts w:ascii="宋体" w:hAnsi="宋体" w:cs="宋体" w:hint="eastAsia"/>
          <w:b/>
        </w:rPr>
        <w:t>学位论文开题、中期考核。</w:t>
      </w:r>
      <w:r w:rsidR="00FA1CC9" w:rsidRPr="00E65416">
        <w:rPr>
          <w:rFonts w:ascii="宋体" w:hAnsi="宋体" w:cs="宋体" w:hint="eastAsia"/>
          <w:szCs w:val="21"/>
        </w:rPr>
        <w:t>学位论文选题应有明确的专业背景和应用价值，</w:t>
      </w:r>
      <w:r w:rsidR="00513557" w:rsidRPr="00E65416">
        <w:rPr>
          <w:rFonts w:ascii="宋体" w:hAnsi="宋体" w:cs="宋体" w:hint="eastAsia"/>
          <w:szCs w:val="21"/>
        </w:rPr>
        <w:t>广</w:t>
      </w:r>
      <w:proofErr w:type="gramStart"/>
      <w:r w:rsidR="00513557" w:rsidRPr="00E65416">
        <w:rPr>
          <w:rFonts w:ascii="宋体" w:hAnsi="宋体" w:cs="宋体" w:hint="eastAsia"/>
          <w:szCs w:val="21"/>
        </w:rPr>
        <w:t>范</w:t>
      </w:r>
      <w:proofErr w:type="gramEnd"/>
      <w:r w:rsidR="00513557" w:rsidRPr="00E65416">
        <w:rPr>
          <w:rFonts w:ascii="宋体" w:hAnsi="宋体" w:cs="宋体" w:hint="eastAsia"/>
          <w:szCs w:val="21"/>
        </w:rPr>
        <w:t>阅读文献资料，论文选题应尽量结合本专业领域的基础知识和个人特长。</w:t>
      </w:r>
      <w:r w:rsidR="005A1D5E" w:rsidRPr="00E65416">
        <w:rPr>
          <w:rFonts w:ascii="宋体" w:hAnsi="宋体" w:cs="宋体" w:hint="eastAsia"/>
          <w:szCs w:val="21"/>
        </w:rPr>
        <w:t>在导师的指导下，确定论文</w:t>
      </w:r>
      <w:r w:rsidR="00513557" w:rsidRPr="00E65416">
        <w:rPr>
          <w:rFonts w:ascii="宋体" w:hAnsi="宋体" w:cs="宋体" w:hint="eastAsia"/>
          <w:szCs w:val="21"/>
        </w:rPr>
        <w:t>选题</w:t>
      </w:r>
      <w:r w:rsidR="005A1D5E" w:rsidRPr="00E65416">
        <w:rPr>
          <w:rFonts w:ascii="宋体" w:hAnsi="宋体" w:cs="宋体" w:hint="eastAsia"/>
          <w:szCs w:val="21"/>
        </w:rPr>
        <w:t>后必须撰写学位论文开题报告，</w:t>
      </w:r>
      <w:r w:rsidR="00513557" w:rsidRPr="00E65416">
        <w:rPr>
          <w:rFonts w:asciiTheme="minorEastAsia" w:hAnsiTheme="minorEastAsia" w:hint="eastAsia"/>
          <w:kern w:val="0"/>
          <w:szCs w:val="21"/>
        </w:rPr>
        <w:t>选题报告会一般不迟于第3学期完成。</w:t>
      </w:r>
      <w:r w:rsidR="005A1D5E" w:rsidRPr="00E65416">
        <w:rPr>
          <w:rFonts w:ascii="宋体" w:hAnsi="宋体" w:cs="宋体" w:hint="eastAsia"/>
          <w:szCs w:val="21"/>
        </w:rPr>
        <w:t>对所选课题的立论依据、研究方案、研究</w:t>
      </w:r>
      <w:r w:rsidR="005A1D5E" w:rsidRPr="00E65416">
        <w:rPr>
          <w:rFonts w:ascii="宋体" w:hAnsi="宋体" w:cs="宋体" w:hint="eastAsia"/>
        </w:rPr>
        <w:t>基础等进行全面介绍和论证。</w:t>
      </w:r>
    </w:p>
    <w:p w:rsidR="005A1D5E" w:rsidRPr="00E65416" w:rsidRDefault="005A1D5E" w:rsidP="005A1D5E">
      <w:pPr>
        <w:pStyle w:val="a4"/>
        <w:numPr>
          <w:ilvl w:val="0"/>
          <w:numId w:val="10"/>
        </w:numPr>
        <w:spacing w:line="460" w:lineRule="exact"/>
        <w:ind w:firstLineChars="0"/>
        <w:rPr>
          <w:rFonts w:ascii="宋体" w:hAnsi="宋体" w:cs="宋体"/>
        </w:rPr>
      </w:pPr>
      <w:r w:rsidRPr="00E65416">
        <w:rPr>
          <w:rFonts w:ascii="宋体" w:hAnsi="宋体" w:cs="宋体" w:hint="eastAsia"/>
        </w:rPr>
        <w:t>开题报告会前，研究生必须完成《专业学位硕士研究生学位论文开题报告及论文工作计划》，并经其导师审核签署意见</w:t>
      </w:r>
      <w:r w:rsidR="00D06C6D" w:rsidRPr="00E65416">
        <w:rPr>
          <w:rFonts w:ascii="宋体" w:hAnsi="宋体" w:cs="宋体" w:hint="eastAsia"/>
        </w:rPr>
        <w:t>同意</w:t>
      </w:r>
      <w:r w:rsidRPr="00E65416">
        <w:rPr>
          <w:rFonts w:ascii="宋体" w:hAnsi="宋体" w:cs="宋体" w:hint="eastAsia"/>
        </w:rPr>
        <w:t>后方能参加论文开题报告会。</w:t>
      </w:r>
    </w:p>
    <w:p w:rsidR="005A1D5E" w:rsidRPr="00E65416" w:rsidRDefault="005A1D5E" w:rsidP="00247AFE">
      <w:pPr>
        <w:pStyle w:val="a4"/>
        <w:numPr>
          <w:ilvl w:val="0"/>
          <w:numId w:val="10"/>
        </w:numPr>
        <w:spacing w:line="360" w:lineRule="auto"/>
        <w:ind w:firstLineChars="0"/>
        <w:rPr>
          <w:rFonts w:ascii="宋体" w:hAnsi="宋体" w:cs="宋体"/>
        </w:rPr>
      </w:pPr>
      <w:r w:rsidRPr="00E65416">
        <w:rPr>
          <w:rFonts w:ascii="宋体" w:hAnsi="宋体" w:cs="宋体" w:hint="eastAsia"/>
        </w:rPr>
        <w:t>开题报告会以小组的形式公开进行，是以研究生导师为主体的</w:t>
      </w:r>
      <w:r w:rsidR="00EF49CF" w:rsidRPr="00E65416">
        <w:rPr>
          <w:rFonts w:ascii="宋体" w:hAnsi="宋体" w:cs="宋体" w:hint="eastAsia"/>
        </w:rPr>
        <w:t>3-5</w:t>
      </w:r>
      <w:r w:rsidRPr="00E65416">
        <w:rPr>
          <w:rFonts w:ascii="宋体" w:hAnsi="宋体" w:cs="宋体" w:hint="eastAsia"/>
        </w:rPr>
        <w:t>名相关学科方向的导师组成，对论文选题的创新性、可行性进行相关论证。一般安排在第三学期进行（每年的11月份）论文开题报告会</w:t>
      </w:r>
      <w:r w:rsidR="00E0173A" w:rsidRPr="00E65416">
        <w:rPr>
          <w:rFonts w:ascii="宋体" w:hAnsi="宋体" w:cs="宋体" w:hint="eastAsia"/>
        </w:rPr>
        <w:t>。</w:t>
      </w:r>
    </w:p>
    <w:p w:rsidR="005A1D5E" w:rsidRPr="00E65416" w:rsidRDefault="005A1D5E" w:rsidP="00247AFE">
      <w:pPr>
        <w:spacing w:line="360" w:lineRule="auto"/>
        <w:ind w:firstLine="570"/>
        <w:rPr>
          <w:rFonts w:ascii="宋体" w:hAnsi="宋体" w:cs="宋体"/>
        </w:rPr>
      </w:pPr>
      <w:r w:rsidRPr="00E65416">
        <w:rPr>
          <w:rFonts w:ascii="宋体" w:hAnsi="宋体" w:cs="宋体" w:hint="eastAsia"/>
        </w:rPr>
        <w:t>开题时，研究生对拟选课题作全面汇报，并当场回答评审委员的提问。评审小组经过讨论，对该生</w:t>
      </w:r>
      <w:r w:rsidR="00811392" w:rsidRPr="00E65416">
        <w:rPr>
          <w:rFonts w:ascii="宋体" w:hAnsi="宋体" w:cs="宋体" w:hint="eastAsia"/>
        </w:rPr>
        <w:t>能否</w:t>
      </w:r>
      <w:r w:rsidRPr="00E65416">
        <w:rPr>
          <w:rFonts w:ascii="宋体" w:hAnsi="宋体" w:cs="宋体" w:hint="eastAsia"/>
        </w:rPr>
        <w:t>完成课题任务、能否进入学位论文阶段做出明确评定</w:t>
      </w:r>
      <w:r w:rsidRPr="00E65416">
        <w:rPr>
          <w:rFonts w:ascii="宋体" w:hAnsi="宋体" w:cs="宋体" w:hint="eastAsia"/>
          <w:szCs w:val="21"/>
        </w:rPr>
        <w:t>。</w:t>
      </w:r>
      <w:r w:rsidR="00513557" w:rsidRPr="00E65416">
        <w:rPr>
          <w:rFonts w:ascii="宋体" w:hAnsi="宋体" w:cs="宋体" w:hint="eastAsia"/>
          <w:szCs w:val="21"/>
        </w:rPr>
        <w:t>并将提问和讨论的主要内容作好记录，每位评审员应签名；评审小组成员1/2及以上做出同意的评定后，视为选题报告通过。</w:t>
      </w:r>
    </w:p>
    <w:p w:rsidR="005A1D5E" w:rsidRPr="00E65416" w:rsidRDefault="005A1D5E" w:rsidP="00247AFE">
      <w:pPr>
        <w:pStyle w:val="a4"/>
        <w:numPr>
          <w:ilvl w:val="0"/>
          <w:numId w:val="10"/>
        </w:numPr>
        <w:spacing w:line="360" w:lineRule="auto"/>
        <w:ind w:firstLineChars="0"/>
        <w:rPr>
          <w:rFonts w:ascii="宋体" w:hAnsi="宋体" w:cs="宋体"/>
          <w:szCs w:val="24"/>
        </w:rPr>
      </w:pPr>
      <w:r w:rsidRPr="00E65416">
        <w:rPr>
          <w:rFonts w:ascii="宋体" w:hAnsi="宋体" w:cs="宋体" w:hint="eastAsia"/>
        </w:rPr>
        <w:t>开题报告经审查通过，必须严格执行。在论文的研究过程中，如果论</w:t>
      </w:r>
      <w:r w:rsidRPr="00E65416">
        <w:rPr>
          <w:rFonts w:ascii="宋体" w:hAnsi="宋体" w:cs="宋体" w:hint="eastAsia"/>
          <w:szCs w:val="24"/>
        </w:rPr>
        <w:t>文课题有重大变动，应重新做选题报告。</w:t>
      </w:r>
    </w:p>
    <w:p w:rsidR="00E72C46" w:rsidRPr="00E65416" w:rsidRDefault="005A1D5E" w:rsidP="00247AFE">
      <w:pPr>
        <w:spacing w:line="360" w:lineRule="auto"/>
        <w:ind w:firstLine="570"/>
        <w:rPr>
          <w:rFonts w:ascii="宋体" w:hAnsi="宋体" w:cs="宋体"/>
          <w:szCs w:val="21"/>
        </w:rPr>
      </w:pPr>
      <w:r w:rsidRPr="00E65416">
        <w:rPr>
          <w:rFonts w:ascii="宋体" w:hAnsi="宋体" w:cs="宋体" w:hint="eastAsia"/>
        </w:rPr>
        <w:t>开题报告未通过者，</w:t>
      </w:r>
      <w:r w:rsidRPr="00E65416">
        <w:rPr>
          <w:rFonts w:ascii="宋体" w:hAnsi="宋体" w:cs="宋体" w:hint="eastAsia"/>
          <w:szCs w:val="21"/>
        </w:rPr>
        <w:t>可在</w:t>
      </w:r>
      <w:r w:rsidRPr="00E65416">
        <w:rPr>
          <w:rFonts w:ascii="宋体" w:hAnsi="宋体" w:cs="宋体"/>
          <w:szCs w:val="21"/>
        </w:rPr>
        <w:t xml:space="preserve">3 </w:t>
      </w:r>
      <w:proofErr w:type="gramStart"/>
      <w:r w:rsidRPr="00E65416">
        <w:rPr>
          <w:rFonts w:ascii="宋体" w:hAnsi="宋体" w:cs="宋体" w:hint="eastAsia"/>
          <w:szCs w:val="21"/>
        </w:rPr>
        <w:t>个</w:t>
      </w:r>
      <w:proofErr w:type="gramEnd"/>
      <w:r w:rsidRPr="00E65416">
        <w:rPr>
          <w:rFonts w:ascii="宋体" w:hAnsi="宋体" w:cs="宋体" w:hint="eastAsia"/>
          <w:szCs w:val="21"/>
        </w:rPr>
        <w:t>月后重新开题，若仍未通过者，</w:t>
      </w:r>
      <w:r w:rsidR="00513557" w:rsidRPr="00E65416">
        <w:rPr>
          <w:rFonts w:ascii="宋体" w:hAnsi="宋体" w:cs="宋体" w:hint="eastAsia"/>
          <w:szCs w:val="21"/>
        </w:rPr>
        <w:t>若仍未通过者，视为自动终止学业，予以退学处理。</w:t>
      </w:r>
    </w:p>
    <w:p w:rsidR="00944CB2" w:rsidRPr="00E65416" w:rsidRDefault="00944CB2" w:rsidP="00D676C7">
      <w:pPr>
        <w:spacing w:line="360" w:lineRule="auto"/>
        <w:ind w:firstLine="570"/>
        <w:rPr>
          <w:rFonts w:ascii="宋体" w:hAnsi="宋体" w:cs="宋体"/>
        </w:rPr>
      </w:pPr>
      <w:r w:rsidRPr="00E65416">
        <w:rPr>
          <w:rFonts w:ascii="宋体" w:hAnsi="宋体" w:cs="宋体" w:hint="eastAsia"/>
          <w:b/>
          <w:szCs w:val="21"/>
        </w:rPr>
        <w:t xml:space="preserve">2、中期考核  </w:t>
      </w:r>
      <w:r w:rsidRPr="00E65416">
        <w:rPr>
          <w:rFonts w:ascii="宋体" w:hAnsi="宋体" w:cs="宋体" w:hint="eastAsia"/>
        </w:rPr>
        <w:t>中期考核是对硕士生前半段课程学习和培养实践的全面检查，也是对导师指导过程的阶段反馈。中期考核一般不迟于入学后第3学期完成。学制内未通过中期考核的硕士生，视为自动终止学业，予以退学处理。</w:t>
      </w:r>
    </w:p>
    <w:p w:rsidR="00C41111" w:rsidRPr="00E65416" w:rsidRDefault="00944CB2" w:rsidP="00944CB2">
      <w:pPr>
        <w:spacing w:line="460" w:lineRule="exact"/>
        <w:ind w:firstLineChars="200" w:firstLine="422"/>
        <w:rPr>
          <w:rFonts w:ascii="宋体" w:hAnsi="宋体" w:cs="宋体"/>
        </w:rPr>
      </w:pPr>
      <w:r w:rsidRPr="00E65416">
        <w:rPr>
          <w:rFonts w:ascii="宋体" w:hAnsi="宋体" w:cs="宋体" w:hint="eastAsia"/>
          <w:b/>
        </w:rPr>
        <w:lastRenderedPageBreak/>
        <w:t>3</w:t>
      </w:r>
      <w:r w:rsidR="00183656" w:rsidRPr="00E65416">
        <w:rPr>
          <w:rFonts w:ascii="宋体" w:hAnsi="宋体" w:cs="宋体" w:hint="eastAsia"/>
          <w:b/>
        </w:rPr>
        <w:t>、</w:t>
      </w:r>
      <w:r w:rsidR="005A1D5E" w:rsidRPr="00E65416">
        <w:rPr>
          <w:rFonts w:ascii="宋体" w:hAnsi="宋体" w:cs="宋体" w:hint="eastAsia"/>
          <w:b/>
        </w:rPr>
        <w:t>学位论文</w:t>
      </w:r>
      <w:r w:rsidR="003E36A8" w:rsidRPr="00E65416">
        <w:rPr>
          <w:rFonts w:ascii="宋体" w:hAnsi="宋体" w:cs="宋体" w:hint="eastAsia"/>
          <w:b/>
        </w:rPr>
        <w:t>学术道德和学术规范</w:t>
      </w:r>
      <w:r w:rsidR="005A1D5E" w:rsidRPr="00E65416">
        <w:rPr>
          <w:rFonts w:ascii="宋体" w:hAnsi="宋体" w:cs="宋体" w:hint="eastAsia"/>
          <w:b/>
        </w:rPr>
        <w:t>检测</w:t>
      </w:r>
      <w:r w:rsidR="003E36A8" w:rsidRPr="00E65416">
        <w:rPr>
          <w:rFonts w:ascii="宋体" w:hAnsi="宋体" w:cs="宋体" w:hint="eastAsia"/>
          <w:b/>
        </w:rPr>
        <w:t>。</w:t>
      </w:r>
      <w:r w:rsidR="003E36A8" w:rsidRPr="00E65416">
        <w:rPr>
          <w:rFonts w:ascii="宋体" w:hAnsi="宋体" w:cs="宋体"/>
        </w:rPr>
        <w:t>对拟申请</w:t>
      </w:r>
      <w:r w:rsidR="003E36A8" w:rsidRPr="00E65416">
        <w:rPr>
          <w:rFonts w:ascii="宋体" w:hAnsi="宋体" w:cs="宋体" w:hint="eastAsia"/>
        </w:rPr>
        <w:t>金融</w:t>
      </w:r>
      <w:r w:rsidR="003E36A8" w:rsidRPr="00E65416">
        <w:rPr>
          <w:rFonts w:ascii="宋体" w:hAnsi="宋体" w:cs="宋体"/>
        </w:rPr>
        <w:t>硕士毕业论文进行学位</w:t>
      </w:r>
      <w:proofErr w:type="gramStart"/>
      <w:r w:rsidR="003E36A8" w:rsidRPr="00E65416">
        <w:rPr>
          <w:rFonts w:ascii="宋体" w:hAnsi="宋体" w:cs="宋体"/>
        </w:rPr>
        <w:t>论文</w:t>
      </w:r>
      <w:r w:rsidR="003E36A8" w:rsidRPr="00E65416">
        <w:rPr>
          <w:rFonts w:ascii="宋体" w:hAnsi="宋体" w:cs="宋体" w:hint="eastAsia"/>
        </w:rPr>
        <w:t>查重</w:t>
      </w:r>
      <w:r w:rsidR="003E36A8" w:rsidRPr="00E65416">
        <w:rPr>
          <w:rFonts w:ascii="宋体" w:hAnsi="宋体" w:cs="宋体"/>
        </w:rPr>
        <w:t>检测</w:t>
      </w:r>
      <w:proofErr w:type="gramEnd"/>
      <w:r w:rsidR="00C41111" w:rsidRPr="00E65416">
        <w:rPr>
          <w:rFonts w:ascii="宋体" w:hAnsi="宋体" w:cs="宋体" w:hint="eastAsia"/>
        </w:rPr>
        <w:t>。在研究生</w:t>
      </w:r>
      <w:r w:rsidR="00C41111" w:rsidRPr="00E65416">
        <w:rPr>
          <w:rFonts w:ascii="宋体" w:hAnsi="宋体" w:cs="宋体"/>
        </w:rPr>
        <w:t>首次</w:t>
      </w:r>
      <w:r w:rsidR="003E36A8" w:rsidRPr="00E65416">
        <w:rPr>
          <w:rFonts w:ascii="宋体" w:hAnsi="宋体" w:cs="宋体"/>
        </w:rPr>
        <w:t>申请校内双盲提交论文时，</w:t>
      </w:r>
      <w:r w:rsidR="003E36A8" w:rsidRPr="00E65416">
        <w:rPr>
          <w:rFonts w:ascii="宋体" w:hAnsi="宋体" w:cs="宋体" w:hint="eastAsia"/>
        </w:rPr>
        <w:t>需同时提交</w:t>
      </w:r>
      <w:proofErr w:type="gramStart"/>
      <w:r w:rsidR="003E36A8" w:rsidRPr="00E65416">
        <w:rPr>
          <w:rFonts w:ascii="宋体" w:hAnsi="宋体" w:cs="宋体" w:hint="eastAsia"/>
        </w:rPr>
        <w:t>一份查重报告</w:t>
      </w:r>
      <w:proofErr w:type="gramEnd"/>
      <w:r w:rsidR="00C41111" w:rsidRPr="00E65416">
        <w:rPr>
          <w:rFonts w:ascii="宋体" w:hAnsi="宋体" w:cs="宋体" w:hint="eastAsia"/>
        </w:rPr>
        <w:t>，</w:t>
      </w:r>
      <w:r w:rsidR="003E36A8" w:rsidRPr="00E65416">
        <w:rPr>
          <w:rFonts w:ascii="宋体" w:hAnsi="宋体" w:cs="宋体"/>
        </w:rPr>
        <w:t>检测结果以复制比表示，分为通过和不通过两种</w:t>
      </w:r>
      <w:r w:rsidR="00C41111" w:rsidRPr="00E65416">
        <w:rPr>
          <w:rFonts w:ascii="宋体" w:hAnsi="宋体" w:cs="宋体" w:hint="eastAsia"/>
        </w:rPr>
        <w:t>（具体细则详见《</w:t>
      </w:r>
      <w:r w:rsidR="00C41111" w:rsidRPr="00E65416">
        <w:rPr>
          <w:rFonts w:ascii="宋体" w:hAnsi="宋体" w:cs="宋体"/>
        </w:rPr>
        <w:t>同济大学</w:t>
      </w:r>
      <w:r w:rsidR="00C41111" w:rsidRPr="00E65416">
        <w:rPr>
          <w:rFonts w:ascii="宋体" w:hAnsi="宋体" w:cs="宋体" w:hint="eastAsia"/>
        </w:rPr>
        <w:t>金融硕士</w:t>
      </w:r>
      <w:r w:rsidR="00C41111" w:rsidRPr="00E65416">
        <w:rPr>
          <w:rFonts w:ascii="宋体" w:hAnsi="宋体" w:cs="宋体"/>
        </w:rPr>
        <w:t>关于开展学位论文</w:t>
      </w:r>
      <w:r w:rsidR="00C41111" w:rsidRPr="00E65416">
        <w:rPr>
          <w:rFonts w:ascii="宋体" w:hAnsi="宋体" w:cs="宋体" w:hint="eastAsia"/>
        </w:rPr>
        <w:t>查重检测</w:t>
      </w:r>
      <w:r w:rsidR="00C41111" w:rsidRPr="00E65416">
        <w:rPr>
          <w:rFonts w:ascii="宋体" w:hAnsi="宋体" w:cs="宋体"/>
        </w:rPr>
        <w:t>的实施细则（试行）</w:t>
      </w:r>
      <w:r w:rsidR="00C41111" w:rsidRPr="00E65416">
        <w:rPr>
          <w:rFonts w:ascii="宋体" w:hAnsi="宋体" w:cs="宋体" w:hint="eastAsia"/>
        </w:rPr>
        <w:t>》。</w:t>
      </w:r>
    </w:p>
    <w:p w:rsidR="000B54D5" w:rsidRPr="00E65416" w:rsidRDefault="000B54D5" w:rsidP="000B54D5">
      <w:pPr>
        <w:pStyle w:val="a4"/>
        <w:numPr>
          <w:ilvl w:val="0"/>
          <w:numId w:val="10"/>
        </w:numPr>
        <w:spacing w:line="460" w:lineRule="exact"/>
        <w:ind w:firstLineChars="0"/>
        <w:rPr>
          <w:rFonts w:ascii="宋体" w:hAnsi="宋体" w:cs="宋体"/>
        </w:rPr>
      </w:pPr>
      <w:r w:rsidRPr="00E65416">
        <w:rPr>
          <w:rFonts w:ascii="宋体" w:hAnsi="宋体" w:cs="宋体"/>
        </w:rPr>
        <w:t>通过</w:t>
      </w:r>
      <w:r w:rsidRPr="00E65416">
        <w:rPr>
          <w:rFonts w:ascii="宋体" w:hAnsi="宋体" w:cs="宋体" w:hint="eastAsia"/>
        </w:rPr>
        <w:t>。</w:t>
      </w:r>
      <w:r w:rsidRPr="00E65416">
        <w:rPr>
          <w:rFonts w:ascii="宋体" w:hAnsi="宋体" w:cs="宋体"/>
        </w:rPr>
        <w:t>论文“总文字复制比”小于等于15%，且“去除引用文献复制比”小于等于10%的为通过，经导师签字</w:t>
      </w:r>
      <w:r w:rsidR="00D06C6D" w:rsidRPr="00E65416">
        <w:rPr>
          <w:rFonts w:ascii="宋体" w:hAnsi="宋体" w:cs="宋体" w:hint="eastAsia"/>
        </w:rPr>
        <w:t>同意</w:t>
      </w:r>
      <w:r w:rsidRPr="00E65416">
        <w:rPr>
          <w:rFonts w:ascii="宋体" w:hAnsi="宋体" w:cs="宋体"/>
        </w:rPr>
        <w:t>后可以进入论文送审环节。</w:t>
      </w:r>
    </w:p>
    <w:p w:rsidR="000B54D5" w:rsidRPr="00E65416" w:rsidRDefault="000B54D5" w:rsidP="000B54D5">
      <w:pPr>
        <w:pStyle w:val="a4"/>
        <w:numPr>
          <w:ilvl w:val="0"/>
          <w:numId w:val="10"/>
        </w:numPr>
        <w:spacing w:line="460" w:lineRule="exact"/>
        <w:ind w:firstLineChars="0"/>
        <w:rPr>
          <w:rFonts w:ascii="宋体" w:hAnsi="宋体" w:cs="宋体"/>
        </w:rPr>
      </w:pPr>
      <w:r w:rsidRPr="00E65416">
        <w:rPr>
          <w:rFonts w:ascii="宋体" w:hAnsi="宋体" w:cs="宋体"/>
        </w:rPr>
        <w:t>不通过</w:t>
      </w:r>
      <w:r w:rsidRPr="00E65416">
        <w:rPr>
          <w:rFonts w:ascii="宋体" w:hAnsi="宋体" w:cs="宋体" w:hint="eastAsia"/>
        </w:rPr>
        <w:t>。</w:t>
      </w:r>
      <w:r w:rsidRPr="00E65416">
        <w:rPr>
          <w:rFonts w:ascii="宋体" w:hAnsi="宋体" w:cs="宋体"/>
        </w:rPr>
        <w:t>论文“总文字复制比”在15%和30%之间，或“去除引用文献复制比”在10%和20%之间，研究生需对论文进行修改，经导师签字认可后进行论文复检，复检通过后方可进入论文送审环节。</w:t>
      </w:r>
    </w:p>
    <w:p w:rsidR="00C41111" w:rsidRPr="00E65416" w:rsidRDefault="00944CB2" w:rsidP="00CE34D5">
      <w:pPr>
        <w:spacing w:line="460" w:lineRule="exact"/>
        <w:ind w:firstLineChars="200" w:firstLine="422"/>
        <w:rPr>
          <w:rFonts w:ascii="宋体" w:hAnsi="宋体" w:cs="宋体"/>
        </w:rPr>
      </w:pPr>
      <w:r w:rsidRPr="00E65416">
        <w:rPr>
          <w:rFonts w:ascii="宋体" w:hAnsi="宋体" w:cs="宋体" w:hint="eastAsia"/>
          <w:b/>
        </w:rPr>
        <w:t>4</w:t>
      </w:r>
      <w:r w:rsidR="00C41111" w:rsidRPr="00E65416">
        <w:rPr>
          <w:rFonts w:ascii="宋体" w:hAnsi="宋体" w:cs="宋体" w:hint="eastAsia"/>
          <w:b/>
        </w:rPr>
        <w:t>、学位论文实行双盲匿名评审制度。</w:t>
      </w:r>
      <w:r w:rsidR="00C41111" w:rsidRPr="00E65416">
        <w:rPr>
          <w:rFonts w:ascii="宋体" w:hAnsi="宋体" w:cs="宋体" w:hint="eastAsia"/>
        </w:rPr>
        <w:t>研究生论文经导师指导同意后提交</w:t>
      </w:r>
      <w:r w:rsidR="00B90215" w:rsidRPr="00E65416">
        <w:rPr>
          <w:rFonts w:ascii="宋体" w:hAnsi="宋体" w:cs="宋体" w:hint="eastAsia"/>
        </w:rPr>
        <w:t>2</w:t>
      </w:r>
      <w:r w:rsidR="00B90215" w:rsidRPr="00E65416">
        <w:rPr>
          <w:rFonts w:ascii="宋体" w:hAnsi="宋体" w:cs="宋体"/>
        </w:rPr>
        <w:t>本</w:t>
      </w:r>
      <w:proofErr w:type="gramStart"/>
      <w:r w:rsidR="00B90215" w:rsidRPr="00E65416">
        <w:rPr>
          <w:rFonts w:ascii="宋体" w:hAnsi="宋体" w:cs="宋体"/>
        </w:rPr>
        <w:t>盲</w:t>
      </w:r>
      <w:proofErr w:type="gramEnd"/>
      <w:r w:rsidR="00B90215" w:rsidRPr="00E65416">
        <w:rPr>
          <w:rFonts w:ascii="宋体" w:hAnsi="宋体" w:cs="宋体"/>
        </w:rPr>
        <w:t>评标准格式</w:t>
      </w:r>
      <w:r w:rsidR="00B90215" w:rsidRPr="00E65416">
        <w:rPr>
          <w:rFonts w:ascii="宋体" w:hAnsi="宋体" w:cs="宋体" w:hint="eastAsia"/>
        </w:rPr>
        <w:t>的论文</w:t>
      </w:r>
      <w:r w:rsidR="00B90215" w:rsidRPr="00E65416">
        <w:rPr>
          <w:rFonts w:ascii="宋体" w:hAnsi="宋体" w:cs="宋体"/>
        </w:rPr>
        <w:t>（学号、研究生姓名、导师姓名隐去）</w:t>
      </w:r>
      <w:r w:rsidR="00B90215" w:rsidRPr="00E65416">
        <w:rPr>
          <w:rFonts w:ascii="宋体" w:hAnsi="宋体" w:cs="宋体" w:hint="eastAsia"/>
        </w:rPr>
        <w:t>至金融硕士</w:t>
      </w:r>
      <w:r w:rsidR="00C41111" w:rsidRPr="00E65416">
        <w:rPr>
          <w:rFonts w:ascii="宋体" w:hAnsi="宋体" w:cs="宋体" w:hint="eastAsia"/>
        </w:rPr>
        <w:t>教学管理中心</w:t>
      </w:r>
      <w:r w:rsidR="00B90215" w:rsidRPr="00E65416">
        <w:rPr>
          <w:rFonts w:ascii="宋体" w:hAnsi="宋体" w:cs="宋体" w:hint="eastAsia"/>
        </w:rPr>
        <w:t>，中心将</w:t>
      </w:r>
      <w:r w:rsidR="00C41111" w:rsidRPr="00E65416">
        <w:rPr>
          <w:rFonts w:ascii="宋体" w:hAnsi="宋体" w:cs="宋体" w:hint="eastAsia"/>
        </w:rPr>
        <w:t>安排本学科领域的2名专家匿名评审，</w:t>
      </w:r>
      <w:r w:rsidR="00DF5E7F" w:rsidRPr="00E65416">
        <w:rPr>
          <w:rFonts w:ascii="宋体" w:hAnsi="宋体" w:cs="宋体" w:hint="eastAsia"/>
        </w:rPr>
        <w:t>评审专家对论文是否达到硕士学位的学术水平</w:t>
      </w:r>
      <w:r w:rsidR="00D06C6D" w:rsidRPr="00E65416">
        <w:rPr>
          <w:rFonts w:ascii="宋体" w:hAnsi="宋体" w:cs="宋体" w:hint="eastAsia"/>
        </w:rPr>
        <w:t>, 可否提交答辩</w:t>
      </w:r>
      <w:r w:rsidR="00DF5E7F" w:rsidRPr="00E65416">
        <w:rPr>
          <w:rFonts w:ascii="宋体" w:hAnsi="宋体" w:cs="宋体" w:hint="eastAsia"/>
        </w:rPr>
        <w:t>提出意见。</w:t>
      </w:r>
      <w:r w:rsidR="00C41111" w:rsidRPr="00E65416">
        <w:rPr>
          <w:rFonts w:ascii="宋体" w:hAnsi="宋体" w:cs="宋体" w:hint="eastAsia"/>
        </w:rPr>
        <w:t>具体情形如下：</w:t>
      </w:r>
    </w:p>
    <w:p w:rsidR="00C41111" w:rsidRPr="00E65416" w:rsidRDefault="00C41111" w:rsidP="00B90215">
      <w:pPr>
        <w:pStyle w:val="a4"/>
        <w:numPr>
          <w:ilvl w:val="0"/>
          <w:numId w:val="1"/>
        </w:numPr>
        <w:spacing w:line="460" w:lineRule="exact"/>
        <w:ind w:firstLineChars="0"/>
        <w:rPr>
          <w:rFonts w:ascii="宋体" w:hAnsi="宋体" w:cs="宋体"/>
        </w:rPr>
      </w:pPr>
      <w:r w:rsidRPr="00E65416">
        <w:rPr>
          <w:rFonts w:ascii="宋体" w:hAnsi="宋体" w:cs="宋体" w:hint="eastAsia"/>
        </w:rPr>
        <w:t>匿名评审意见都同意的，中心予以安排参加答辩。</w:t>
      </w:r>
    </w:p>
    <w:p w:rsidR="00C41111" w:rsidRPr="00E65416" w:rsidRDefault="00C41111" w:rsidP="00B90215">
      <w:pPr>
        <w:pStyle w:val="a4"/>
        <w:numPr>
          <w:ilvl w:val="0"/>
          <w:numId w:val="3"/>
        </w:numPr>
        <w:spacing w:line="460" w:lineRule="exact"/>
        <w:ind w:firstLineChars="0"/>
        <w:rPr>
          <w:rFonts w:ascii="宋体" w:hAnsi="宋体" w:cs="宋体"/>
        </w:rPr>
      </w:pPr>
      <w:r w:rsidRPr="00E65416">
        <w:rPr>
          <w:rFonts w:ascii="宋体" w:hAnsi="宋体" w:cs="宋体" w:hint="eastAsia"/>
        </w:rPr>
        <w:t>匿名评审意见都不同意的，论文重新修改3个月后再次提交，中心再安排本学科领域的2名专家匿名评审。</w:t>
      </w:r>
    </w:p>
    <w:p w:rsidR="003E36A8" w:rsidRPr="00E65416" w:rsidRDefault="00C41111" w:rsidP="00B90215">
      <w:pPr>
        <w:pStyle w:val="a4"/>
        <w:numPr>
          <w:ilvl w:val="0"/>
          <w:numId w:val="4"/>
        </w:numPr>
        <w:spacing w:line="460" w:lineRule="exact"/>
        <w:ind w:firstLineChars="0"/>
        <w:rPr>
          <w:rFonts w:ascii="宋体" w:hAnsi="宋体" w:cs="宋体"/>
        </w:rPr>
      </w:pPr>
      <w:r w:rsidRPr="00E65416">
        <w:rPr>
          <w:rFonts w:ascii="宋体" w:hAnsi="宋体" w:cs="宋体" w:hint="eastAsia"/>
        </w:rPr>
        <w:t>匿名评审意见1名同意、1名不同意的</w:t>
      </w:r>
      <w:r w:rsidR="00897C1B" w:rsidRPr="00E65416">
        <w:rPr>
          <w:rFonts w:ascii="宋体" w:hAnsi="宋体" w:cs="宋体" w:hint="eastAsia"/>
        </w:rPr>
        <w:t>，论文重新修改后再次提交，中心再安排本学科领域的１名专家匿名评。</w:t>
      </w:r>
    </w:p>
    <w:p w:rsidR="00DF5E7F" w:rsidRPr="00E65416" w:rsidRDefault="00BE3FD8" w:rsidP="00BE3FD8">
      <w:pPr>
        <w:spacing w:line="460" w:lineRule="exact"/>
        <w:ind w:firstLineChars="200" w:firstLine="420"/>
        <w:rPr>
          <w:rFonts w:ascii="宋体" w:hAnsi="宋体" w:cs="宋体"/>
        </w:rPr>
      </w:pPr>
      <w:r w:rsidRPr="00E65416">
        <w:rPr>
          <w:rFonts w:ascii="宋体" w:hAnsi="宋体" w:cs="宋体" w:hint="eastAsia"/>
        </w:rPr>
        <w:t>学位论文除通过以上2位校内匿名评审外，还需一位</w:t>
      </w:r>
      <w:r w:rsidR="00DF5E7F" w:rsidRPr="00E65416">
        <w:rPr>
          <w:rFonts w:ascii="宋体" w:hAnsi="宋体" w:cs="宋体" w:hint="eastAsia"/>
        </w:rPr>
        <w:t>校外同行专家</w:t>
      </w:r>
      <w:r w:rsidRPr="00E65416">
        <w:rPr>
          <w:rFonts w:ascii="宋体" w:hAnsi="宋体" w:cs="宋体" w:hint="eastAsia"/>
        </w:rPr>
        <w:t>的评阅意见</w:t>
      </w:r>
      <w:r w:rsidR="00DF5E7F" w:rsidRPr="00E65416">
        <w:rPr>
          <w:rFonts w:ascii="宋体" w:hAnsi="宋体" w:cs="宋体" w:hint="eastAsia"/>
        </w:rPr>
        <w:t>，方可进入答辩程序。</w:t>
      </w:r>
    </w:p>
    <w:p w:rsidR="005F67E1" w:rsidRPr="00E65416" w:rsidRDefault="00FF1799" w:rsidP="00CE34D5">
      <w:pPr>
        <w:spacing w:line="460" w:lineRule="exact"/>
        <w:ind w:firstLineChars="200" w:firstLine="422"/>
        <w:rPr>
          <w:rFonts w:ascii="宋体" w:hAnsi="宋体" w:cs="宋体"/>
        </w:rPr>
      </w:pPr>
      <w:r w:rsidRPr="00E65416">
        <w:rPr>
          <w:rFonts w:ascii="宋体" w:hAnsi="宋体" w:cs="宋体" w:hint="eastAsia"/>
          <w:b/>
        </w:rPr>
        <w:t>4</w:t>
      </w:r>
      <w:r w:rsidR="00B90215" w:rsidRPr="00E65416">
        <w:rPr>
          <w:rFonts w:ascii="宋体" w:hAnsi="宋体" w:cs="宋体" w:hint="eastAsia"/>
          <w:b/>
        </w:rPr>
        <w:t>、</w:t>
      </w:r>
      <w:r w:rsidR="00944CB2" w:rsidRPr="00E65416">
        <w:rPr>
          <w:rFonts w:ascii="宋体" w:hAnsi="宋体" w:cs="宋体" w:hint="eastAsia"/>
          <w:b/>
        </w:rPr>
        <w:t>教育部</w:t>
      </w:r>
      <w:r w:rsidR="005F67E1" w:rsidRPr="00E65416">
        <w:rPr>
          <w:rFonts w:ascii="宋体" w:hAnsi="宋体" w:cs="宋体"/>
          <w:b/>
        </w:rPr>
        <w:t>学位论文抽检评议（简称“盲审”）</w:t>
      </w:r>
      <w:r w:rsidR="005F67E1" w:rsidRPr="00E65416">
        <w:rPr>
          <w:rFonts w:ascii="宋体" w:hAnsi="宋体" w:cs="宋体" w:hint="eastAsia"/>
          <w:b/>
        </w:rPr>
        <w:t>。</w:t>
      </w:r>
      <w:r w:rsidR="005F67E1" w:rsidRPr="00E65416">
        <w:rPr>
          <w:rFonts w:ascii="宋体" w:hAnsi="宋体" w:cs="宋体"/>
        </w:rPr>
        <w:t>申请学位</w:t>
      </w:r>
      <w:r w:rsidR="005F67E1" w:rsidRPr="00E65416">
        <w:rPr>
          <w:rFonts w:ascii="宋体" w:hAnsi="宋体" w:cs="宋体" w:hint="eastAsia"/>
        </w:rPr>
        <w:t>的</w:t>
      </w:r>
      <w:r w:rsidR="005F67E1" w:rsidRPr="00E65416">
        <w:rPr>
          <w:rFonts w:ascii="宋体" w:hAnsi="宋体" w:cs="宋体"/>
        </w:rPr>
        <w:t>研究生在论文</w:t>
      </w:r>
      <w:r w:rsidR="00DF5E7F" w:rsidRPr="00E65416">
        <w:rPr>
          <w:rFonts w:ascii="宋体" w:hAnsi="宋体" w:cs="宋体" w:hint="eastAsia"/>
        </w:rPr>
        <w:t>盲审通过</w:t>
      </w:r>
      <w:r w:rsidR="005F67E1" w:rsidRPr="00E65416">
        <w:rPr>
          <w:rFonts w:ascii="宋体" w:hAnsi="宋体" w:cs="宋体"/>
        </w:rPr>
        <w:t>后、答辩前</w:t>
      </w:r>
      <w:r w:rsidR="005F67E1" w:rsidRPr="00E65416">
        <w:rPr>
          <w:rFonts w:ascii="宋体" w:hAnsi="宋体" w:cs="宋体" w:hint="eastAsia"/>
        </w:rPr>
        <w:t>须</w:t>
      </w:r>
      <w:r w:rsidR="005F67E1" w:rsidRPr="00E65416">
        <w:rPr>
          <w:rFonts w:ascii="宋体" w:hAnsi="宋体" w:cs="宋体"/>
        </w:rPr>
        <w:t>登录我校研究生教育管理系统</w:t>
      </w:r>
      <w:proofErr w:type="gramStart"/>
      <w:r w:rsidR="005F67E1" w:rsidRPr="00E65416">
        <w:rPr>
          <w:rFonts w:ascii="宋体" w:hAnsi="宋体" w:cs="宋体"/>
        </w:rPr>
        <w:t>进行盲审抽检</w:t>
      </w:r>
      <w:proofErr w:type="gramEnd"/>
      <w:r w:rsidR="005F67E1" w:rsidRPr="00E65416">
        <w:rPr>
          <w:rFonts w:ascii="宋体" w:hAnsi="宋体" w:cs="宋体" w:hint="eastAsia"/>
        </w:rPr>
        <w:t>工作。</w:t>
      </w:r>
    </w:p>
    <w:p w:rsidR="005F67E1" w:rsidRPr="00E65416" w:rsidRDefault="005F67E1" w:rsidP="005F67E1">
      <w:pPr>
        <w:pStyle w:val="a4"/>
        <w:numPr>
          <w:ilvl w:val="0"/>
          <w:numId w:val="3"/>
        </w:numPr>
        <w:spacing w:line="460" w:lineRule="exact"/>
        <w:ind w:firstLineChars="0"/>
        <w:rPr>
          <w:rFonts w:ascii="宋体" w:hAnsi="宋体" w:cs="宋体"/>
        </w:rPr>
      </w:pPr>
      <w:r w:rsidRPr="00E65416">
        <w:rPr>
          <w:rFonts w:ascii="宋体" w:hAnsi="宋体" w:cs="宋体"/>
        </w:rPr>
        <w:t>未抽中者，</w:t>
      </w:r>
      <w:r w:rsidR="00944CB2" w:rsidRPr="00E65416">
        <w:rPr>
          <w:rFonts w:ascii="宋体" w:hAnsi="宋体" w:cs="宋体" w:hint="eastAsia"/>
        </w:rPr>
        <w:t>按既定时间参加学位论文答辩。</w:t>
      </w:r>
    </w:p>
    <w:p w:rsidR="005F67E1" w:rsidRPr="00E65416" w:rsidRDefault="005F67E1" w:rsidP="005F67E1">
      <w:pPr>
        <w:pStyle w:val="a4"/>
        <w:numPr>
          <w:ilvl w:val="0"/>
          <w:numId w:val="3"/>
        </w:numPr>
        <w:spacing w:line="460" w:lineRule="exact"/>
        <w:ind w:firstLineChars="0"/>
        <w:rPr>
          <w:rFonts w:ascii="宋体" w:hAnsi="宋体" w:cs="宋体"/>
        </w:rPr>
      </w:pPr>
      <w:r w:rsidRPr="00E65416">
        <w:rPr>
          <w:rFonts w:ascii="宋体" w:hAnsi="宋体" w:cs="宋体"/>
        </w:rPr>
        <w:t>被抽中者，必须在</w:t>
      </w:r>
      <w:r w:rsidR="00944CB2" w:rsidRPr="00E65416">
        <w:rPr>
          <w:rFonts w:ascii="宋体" w:hAnsi="宋体" w:cs="宋体" w:hint="eastAsia"/>
        </w:rPr>
        <w:t>10天内将论文上传至教育部论文</w:t>
      </w:r>
      <w:r w:rsidR="00247AFE" w:rsidRPr="00E65416">
        <w:rPr>
          <w:rFonts w:ascii="宋体" w:hAnsi="宋体" w:cs="宋体" w:hint="eastAsia"/>
        </w:rPr>
        <w:t>评审平台，约1个月内评审结果会出来，通过后，研究生方可进入论文答辩阶段，若论文被异议，则不能参加答辩，被异议论文另行处理。</w:t>
      </w:r>
    </w:p>
    <w:p w:rsidR="00183656" w:rsidRPr="00E65416" w:rsidRDefault="00183656" w:rsidP="00183656">
      <w:pPr>
        <w:spacing w:line="460" w:lineRule="exact"/>
        <w:ind w:left="420"/>
        <w:rPr>
          <w:rFonts w:ascii="宋体" w:hAnsi="宋体" w:cs="宋体"/>
        </w:rPr>
      </w:pPr>
      <w:r w:rsidRPr="00E65416">
        <w:rPr>
          <w:rFonts w:ascii="宋体" w:hAnsi="宋体" w:cs="宋体" w:hint="eastAsia"/>
          <w:b/>
        </w:rPr>
        <w:t>5、学位论文答辩</w:t>
      </w:r>
      <w:r w:rsidR="00015C97" w:rsidRPr="00E65416">
        <w:rPr>
          <w:rFonts w:ascii="宋体" w:hAnsi="宋体" w:cs="宋体" w:hint="eastAsia"/>
          <w:b/>
        </w:rPr>
        <w:t>及学位申报</w:t>
      </w:r>
      <w:r w:rsidRPr="00E65416">
        <w:rPr>
          <w:rFonts w:ascii="宋体" w:hAnsi="宋体" w:cs="宋体" w:hint="eastAsia"/>
          <w:b/>
        </w:rPr>
        <w:t>工作。</w:t>
      </w:r>
      <w:r w:rsidRPr="00E65416">
        <w:rPr>
          <w:rFonts w:ascii="宋体" w:hAnsi="宋体" w:cs="宋体" w:hint="eastAsia"/>
        </w:rPr>
        <w:t>申请人提出学位论文答辩申请后（学位论文通过双盲评），由MF中心组织硕士学位论文答辩委员会；委员会成员由3至5人组成，由本学科具有副教授及以上相当职称的专家或研究生指导教师组成，答辩委员会主席由副教授及以上相当职称的研究生指导教师担任；申请人的指导教师不参加答辩。</w:t>
      </w:r>
    </w:p>
    <w:p w:rsidR="00183656" w:rsidRPr="00E65416" w:rsidRDefault="00183656" w:rsidP="00183656">
      <w:pPr>
        <w:pStyle w:val="a4"/>
        <w:numPr>
          <w:ilvl w:val="0"/>
          <w:numId w:val="4"/>
        </w:numPr>
        <w:spacing w:line="460" w:lineRule="exact"/>
        <w:ind w:firstLineChars="0"/>
        <w:rPr>
          <w:rFonts w:ascii="宋体" w:hAnsi="宋体" w:cs="宋体"/>
        </w:rPr>
      </w:pPr>
      <w:r w:rsidRPr="00E65416">
        <w:rPr>
          <w:rFonts w:ascii="宋体" w:hAnsi="宋体" w:cs="宋体" w:hint="eastAsia"/>
        </w:rPr>
        <w:lastRenderedPageBreak/>
        <w:t>硕士学位论文答辩会议程序按照《同济大学硕士研究生培养工作规定》执行。</w:t>
      </w:r>
    </w:p>
    <w:p w:rsidR="00183656" w:rsidRPr="00E65416" w:rsidRDefault="00183656" w:rsidP="00183656">
      <w:pPr>
        <w:pStyle w:val="a4"/>
        <w:numPr>
          <w:ilvl w:val="0"/>
          <w:numId w:val="4"/>
        </w:numPr>
        <w:spacing w:line="460" w:lineRule="exact"/>
        <w:ind w:firstLineChars="0"/>
        <w:rPr>
          <w:rFonts w:ascii="宋体" w:hAnsi="宋体" w:cs="宋体"/>
        </w:rPr>
      </w:pPr>
      <w:r w:rsidRPr="00E65416">
        <w:rPr>
          <w:rFonts w:ascii="宋体" w:hAnsi="宋体" w:cs="宋体" w:hint="eastAsia"/>
        </w:rPr>
        <w:t>硕士学位论文答辩委员会采取不记名投票方式，就是否同意建议授予硕士学位进行表决（具体要求按《同济大学授予学位细则》执行）。</w:t>
      </w:r>
    </w:p>
    <w:p w:rsidR="00B75172" w:rsidRPr="00E65416" w:rsidRDefault="00B75172" w:rsidP="00015C97">
      <w:pPr>
        <w:pStyle w:val="a4"/>
        <w:numPr>
          <w:ilvl w:val="0"/>
          <w:numId w:val="4"/>
        </w:numPr>
        <w:spacing w:line="460" w:lineRule="exact"/>
        <w:ind w:firstLineChars="0"/>
        <w:rPr>
          <w:rFonts w:ascii="宋体" w:hAnsi="宋体" w:cs="宋体"/>
        </w:rPr>
      </w:pPr>
      <w:r w:rsidRPr="00E65416">
        <w:rPr>
          <w:rFonts w:ascii="宋体" w:hAnsi="宋体" w:cs="宋体" w:hint="eastAsia"/>
        </w:rPr>
        <w:t>申请人在答辩委员会建议授予学位后，向MF中心提交申请学位的有关材料。MF中心将审查合格的学位申请材料提交学位</w:t>
      </w:r>
      <w:proofErr w:type="gramStart"/>
      <w:r w:rsidRPr="00E65416">
        <w:rPr>
          <w:rFonts w:ascii="宋体" w:hAnsi="宋体" w:cs="宋体" w:hint="eastAsia"/>
        </w:rPr>
        <w:t>评定分</w:t>
      </w:r>
      <w:proofErr w:type="gramEnd"/>
      <w:r w:rsidRPr="00E65416">
        <w:rPr>
          <w:rFonts w:ascii="宋体" w:hAnsi="宋体" w:cs="宋体" w:hint="eastAsia"/>
        </w:rPr>
        <w:t>委</w:t>
      </w:r>
      <w:r w:rsidR="00015C97" w:rsidRPr="00E65416">
        <w:rPr>
          <w:rFonts w:ascii="宋体" w:hAnsi="宋体" w:cs="宋体" w:hint="eastAsia"/>
        </w:rPr>
        <w:t>员会审议</w:t>
      </w:r>
      <w:r w:rsidRPr="00E65416">
        <w:rPr>
          <w:rFonts w:ascii="宋体" w:hAnsi="宋体" w:cs="宋体" w:hint="eastAsia"/>
        </w:rPr>
        <w:t>、表决，并</w:t>
      </w:r>
      <w:proofErr w:type="gramStart"/>
      <w:r w:rsidRPr="00E65416">
        <w:rPr>
          <w:rFonts w:ascii="宋体" w:hAnsi="宋体" w:cs="宋体" w:hint="eastAsia"/>
        </w:rPr>
        <w:t>作出</w:t>
      </w:r>
      <w:proofErr w:type="gramEnd"/>
      <w:r w:rsidRPr="00E65416">
        <w:rPr>
          <w:rFonts w:ascii="宋体" w:hAnsi="宋体" w:cs="宋体" w:hint="eastAsia"/>
        </w:rPr>
        <w:t>授予或不授予申请人硕士学位的决定。同时报校学位评定委员</w:t>
      </w:r>
      <w:r w:rsidR="006B74E1" w:rsidRPr="00E65416">
        <w:rPr>
          <w:rFonts w:ascii="宋体" w:hAnsi="宋体" w:cs="宋体" w:hint="eastAsia"/>
        </w:rPr>
        <w:t>会</w:t>
      </w:r>
      <w:r w:rsidRPr="00E65416">
        <w:rPr>
          <w:rFonts w:ascii="宋体" w:hAnsi="宋体" w:cs="宋体" w:hint="eastAsia"/>
        </w:rPr>
        <w:t>审议审批。</w:t>
      </w:r>
    </w:p>
    <w:p w:rsidR="005F67E1" w:rsidRPr="00E65416" w:rsidRDefault="00183656" w:rsidP="00B75172">
      <w:pPr>
        <w:spacing w:line="460" w:lineRule="exact"/>
        <w:ind w:left="420"/>
        <w:rPr>
          <w:rFonts w:ascii="宋体" w:hAnsi="宋体" w:cs="宋体"/>
        </w:rPr>
      </w:pPr>
      <w:r w:rsidRPr="00E65416">
        <w:rPr>
          <w:rFonts w:ascii="宋体" w:hAnsi="宋体" w:cs="宋体" w:hint="eastAsia"/>
          <w:b/>
        </w:rPr>
        <w:t>6</w:t>
      </w:r>
      <w:r w:rsidR="005F67E1" w:rsidRPr="00E65416">
        <w:rPr>
          <w:rFonts w:ascii="宋体" w:hAnsi="宋体" w:cs="宋体" w:hint="eastAsia"/>
          <w:b/>
        </w:rPr>
        <w:t>、获学位</w:t>
      </w:r>
      <w:r w:rsidR="005F67E1" w:rsidRPr="00E65416">
        <w:rPr>
          <w:rFonts w:ascii="宋体" w:hAnsi="宋体" w:cs="宋体"/>
          <w:b/>
        </w:rPr>
        <w:t>1</w:t>
      </w:r>
      <w:r w:rsidR="005F67E1" w:rsidRPr="00E65416">
        <w:rPr>
          <w:rFonts w:ascii="宋体" w:hAnsi="宋体" w:cs="宋体" w:hint="eastAsia"/>
          <w:b/>
        </w:rPr>
        <w:t>年后抽检工作。</w:t>
      </w:r>
      <w:r w:rsidR="005F67E1" w:rsidRPr="00E65416">
        <w:rPr>
          <w:rFonts w:ascii="宋体" w:hAnsi="宋体" w:cs="宋体" w:hint="eastAsia"/>
        </w:rPr>
        <w:t>自</w:t>
      </w:r>
      <w:r w:rsidR="005F67E1" w:rsidRPr="00E65416">
        <w:rPr>
          <w:rFonts w:ascii="宋体" w:hAnsi="宋体" w:cs="宋体"/>
        </w:rPr>
        <w:t>2015</w:t>
      </w:r>
      <w:r w:rsidR="005F67E1" w:rsidRPr="00E65416">
        <w:rPr>
          <w:rFonts w:ascii="宋体" w:hAnsi="宋体" w:cs="宋体" w:hint="eastAsia"/>
        </w:rPr>
        <w:t>年起，上海市学位办对全市</w:t>
      </w:r>
      <w:r w:rsidR="00DC0698" w:rsidRPr="00E65416">
        <w:rPr>
          <w:rFonts w:ascii="宋体" w:hAnsi="宋体" w:cs="宋体" w:hint="eastAsia"/>
        </w:rPr>
        <w:t>研究生</w:t>
      </w:r>
      <w:r w:rsidR="005F67E1" w:rsidRPr="00E65416">
        <w:rPr>
          <w:rFonts w:ascii="宋体" w:hAnsi="宋体" w:cs="宋体" w:hint="eastAsia"/>
        </w:rPr>
        <w:t>学位论文进行</w:t>
      </w:r>
      <w:r w:rsidR="005F67E1" w:rsidRPr="00E65416">
        <w:rPr>
          <w:rFonts w:ascii="宋体" w:hAnsi="宋体" w:cs="宋体"/>
        </w:rPr>
        <w:t xml:space="preserve"> “</w:t>
      </w:r>
      <w:r w:rsidR="005F67E1" w:rsidRPr="00E65416">
        <w:rPr>
          <w:rFonts w:ascii="宋体" w:hAnsi="宋体" w:cs="宋体" w:hint="eastAsia"/>
        </w:rPr>
        <w:t>获学位</w:t>
      </w:r>
      <w:r w:rsidR="005F67E1" w:rsidRPr="00E65416">
        <w:rPr>
          <w:rFonts w:ascii="宋体" w:hAnsi="宋体" w:cs="宋体"/>
        </w:rPr>
        <w:t>1</w:t>
      </w:r>
      <w:r w:rsidR="005F67E1" w:rsidRPr="00E65416">
        <w:rPr>
          <w:rFonts w:ascii="宋体" w:hAnsi="宋体" w:cs="宋体" w:hint="eastAsia"/>
        </w:rPr>
        <w:t>年后抽检</w:t>
      </w:r>
      <w:r w:rsidR="005F67E1" w:rsidRPr="00E65416">
        <w:rPr>
          <w:rFonts w:ascii="宋体" w:hAnsi="宋体" w:cs="宋体"/>
        </w:rPr>
        <w:t>”</w:t>
      </w:r>
      <w:r w:rsidR="00D05FAB" w:rsidRPr="00E65416">
        <w:rPr>
          <w:rFonts w:ascii="宋体" w:hAnsi="宋体" w:cs="宋体" w:hint="eastAsia"/>
        </w:rPr>
        <w:t>工作，具体措施详见研究生院学位论文工作相关规定。</w:t>
      </w:r>
      <w:r w:rsidR="00DC0698" w:rsidRPr="00E65416">
        <w:rPr>
          <w:rFonts w:ascii="宋体" w:hAnsi="宋体" w:cs="宋体"/>
        </w:rPr>
        <w:t xml:space="preserve"> </w:t>
      </w:r>
    </w:p>
    <w:p w:rsidR="00893D43" w:rsidRPr="00E65416" w:rsidRDefault="005A1D5E" w:rsidP="00CE34D5">
      <w:pPr>
        <w:spacing w:beforeLines="50" w:before="156" w:line="360" w:lineRule="auto"/>
        <w:ind w:firstLineChars="200" w:firstLine="420"/>
        <w:rPr>
          <w:rFonts w:ascii="宋体"/>
        </w:rPr>
      </w:pPr>
      <w:r w:rsidRPr="00E65416">
        <w:rPr>
          <w:rFonts w:ascii="宋体" w:hAnsi="宋体" w:cs="宋体" w:hint="eastAsia"/>
        </w:rPr>
        <w:t>金融硕士研究生</w:t>
      </w:r>
      <w:r w:rsidR="00893D43" w:rsidRPr="00E65416">
        <w:rPr>
          <w:rFonts w:ascii="宋体" w:hAnsi="宋体" w:cs="宋体" w:hint="eastAsia"/>
        </w:rPr>
        <w:t>修满规定学分、完成专业实习并通过学位论文答辩者，经学位授予单位学位评定委员会审核，授予金融硕士学位。</w:t>
      </w:r>
    </w:p>
    <w:bookmarkEnd w:id="9"/>
    <w:bookmarkEnd w:id="10"/>
    <w:bookmarkEnd w:id="11"/>
    <w:p w:rsidR="008228A9" w:rsidRPr="00E65416" w:rsidRDefault="008228A9" w:rsidP="00893D43">
      <w:pPr>
        <w:widowControl/>
        <w:adjustRightInd w:val="0"/>
        <w:snapToGrid w:val="0"/>
        <w:spacing w:line="560" w:lineRule="exact"/>
        <w:ind w:firstLineChars="200" w:firstLine="480"/>
        <w:jc w:val="left"/>
        <w:rPr>
          <w:rFonts w:ascii="仿宋" w:eastAsia="仿宋" w:hAnsi="仿宋" w:cs="宋体"/>
          <w:kern w:val="0"/>
          <w:sz w:val="24"/>
        </w:rPr>
      </w:pPr>
    </w:p>
    <w:p w:rsidR="00893D43" w:rsidRPr="00E65416" w:rsidRDefault="003D7A87" w:rsidP="00183656">
      <w:pPr>
        <w:pageBreakBefore/>
        <w:widowControl/>
        <w:adjustRightInd w:val="0"/>
        <w:snapToGrid w:val="0"/>
        <w:spacing w:line="560" w:lineRule="exact"/>
        <w:jc w:val="left"/>
        <w:rPr>
          <w:rFonts w:asciiTheme="minorEastAsia" w:eastAsiaTheme="minorEastAsia" w:hAnsiTheme="minorEastAsia"/>
          <w:szCs w:val="21"/>
        </w:rPr>
      </w:pPr>
      <w:r w:rsidRPr="00E65416">
        <w:rPr>
          <w:rFonts w:asciiTheme="minorEastAsia" w:eastAsiaTheme="minorEastAsia" w:hAnsiTheme="minorEastAsia" w:cs="宋体" w:hint="eastAsia"/>
          <w:kern w:val="0"/>
          <w:szCs w:val="21"/>
        </w:rPr>
        <w:lastRenderedPageBreak/>
        <w:t>附件：</w:t>
      </w:r>
      <w:r w:rsidR="00893D43" w:rsidRPr="00E65416">
        <w:rPr>
          <w:rFonts w:asciiTheme="minorEastAsia" w:eastAsiaTheme="minorEastAsia" w:hAnsiTheme="minorEastAsia" w:cs="黑体"/>
          <w:szCs w:val="21"/>
        </w:rPr>
        <w:t>MF</w:t>
      </w:r>
      <w:r w:rsidR="00893D43" w:rsidRPr="00E65416">
        <w:rPr>
          <w:rFonts w:asciiTheme="minorEastAsia" w:eastAsiaTheme="minorEastAsia" w:hAnsiTheme="minorEastAsia" w:cs="宋体" w:hint="eastAsia"/>
          <w:szCs w:val="21"/>
        </w:rPr>
        <w:t>课程设置</w:t>
      </w:r>
    </w:p>
    <w:tbl>
      <w:tblPr>
        <w:tblW w:w="83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CellMar>
          <w:left w:w="0" w:type="dxa"/>
          <w:right w:w="0" w:type="dxa"/>
        </w:tblCellMar>
        <w:tblLook w:val="0000" w:firstRow="0" w:lastRow="0" w:firstColumn="0" w:lastColumn="0" w:noHBand="0" w:noVBand="0"/>
      </w:tblPr>
      <w:tblGrid>
        <w:gridCol w:w="587"/>
        <w:gridCol w:w="283"/>
        <w:gridCol w:w="1276"/>
        <w:gridCol w:w="11"/>
        <w:gridCol w:w="4088"/>
        <w:gridCol w:w="719"/>
        <w:gridCol w:w="720"/>
        <w:gridCol w:w="660"/>
      </w:tblGrid>
      <w:tr w:rsidR="00577DCA" w:rsidRPr="00E65416" w:rsidTr="00E8509B">
        <w:trPr>
          <w:trHeight w:val="380"/>
          <w:jc w:val="center"/>
        </w:trPr>
        <w:tc>
          <w:tcPr>
            <w:tcW w:w="870" w:type="dxa"/>
            <w:gridSpan w:val="2"/>
            <w:tcBorders>
              <w:top w:val="single" w:sz="6" w:space="0" w:color="000000"/>
              <w:left w:val="single" w:sz="6" w:space="0" w:color="000000"/>
              <w:bottom w:val="single" w:sz="6" w:space="0" w:color="000000"/>
              <w:right w:val="single" w:sz="4" w:space="0" w:color="auto"/>
            </w:tcBorders>
            <w:shd w:val="clear" w:color="auto" w:fill="FFFFFF" w:themeFill="background1"/>
            <w:vAlign w:val="center"/>
          </w:tcPr>
          <w:p w:rsidR="00577DCA" w:rsidRPr="00E8509B" w:rsidRDefault="00577DCA"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类别</w:t>
            </w:r>
          </w:p>
        </w:tc>
        <w:tc>
          <w:tcPr>
            <w:tcW w:w="1287" w:type="dxa"/>
            <w:gridSpan w:val="2"/>
            <w:tcBorders>
              <w:top w:val="single" w:sz="6" w:space="0" w:color="000000"/>
              <w:left w:val="single" w:sz="4" w:space="0" w:color="auto"/>
              <w:bottom w:val="single" w:sz="6" w:space="0" w:color="000000"/>
            </w:tcBorders>
            <w:shd w:val="clear" w:color="auto" w:fill="FFFFFF" w:themeFill="background1"/>
            <w:vAlign w:val="center"/>
          </w:tcPr>
          <w:p w:rsidR="00577DCA" w:rsidRPr="00E8509B" w:rsidRDefault="00577DCA" w:rsidP="00577DCA">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课程代码</w:t>
            </w:r>
          </w:p>
        </w:tc>
        <w:tc>
          <w:tcPr>
            <w:tcW w:w="4088" w:type="dxa"/>
            <w:tcBorders>
              <w:top w:val="single" w:sz="6" w:space="0" w:color="000000"/>
              <w:left w:val="single" w:sz="6" w:space="0" w:color="000000"/>
              <w:bottom w:val="single" w:sz="6" w:space="0" w:color="000000"/>
            </w:tcBorders>
            <w:shd w:val="clear" w:color="auto" w:fill="FFFFFF" w:themeFill="background1"/>
            <w:vAlign w:val="center"/>
          </w:tcPr>
          <w:p w:rsidR="00577DCA" w:rsidRPr="00E8509B" w:rsidRDefault="00577DCA"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课程名称</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577DCA" w:rsidRPr="00E8509B" w:rsidRDefault="00577DCA"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学分</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577DCA" w:rsidRPr="00E8509B" w:rsidRDefault="00577DCA"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课内</w:t>
            </w:r>
          </w:p>
          <w:p w:rsidR="00577DCA" w:rsidRPr="00E8509B" w:rsidRDefault="00577DCA"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学时</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577DCA" w:rsidRPr="00E8509B" w:rsidRDefault="00577DCA"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备注</w:t>
            </w:r>
          </w:p>
        </w:tc>
      </w:tr>
      <w:tr w:rsidR="00577DCA" w:rsidRPr="00E65416" w:rsidTr="00E8509B">
        <w:trPr>
          <w:trHeight w:val="500"/>
          <w:jc w:val="center"/>
        </w:trPr>
        <w:tc>
          <w:tcPr>
            <w:tcW w:w="870" w:type="dxa"/>
            <w:gridSpan w:val="2"/>
            <w:vMerge w:val="restart"/>
            <w:tcBorders>
              <w:top w:val="single" w:sz="6" w:space="0" w:color="000000"/>
              <w:left w:val="single" w:sz="4" w:space="0" w:color="auto"/>
              <w:right w:val="single" w:sz="4" w:space="0" w:color="auto"/>
            </w:tcBorders>
            <w:shd w:val="clear" w:color="auto" w:fill="FFFFFF" w:themeFill="background1"/>
            <w:vAlign w:val="center"/>
          </w:tcPr>
          <w:p w:rsidR="00DE1BDB" w:rsidRPr="00E8509B" w:rsidRDefault="00577DCA" w:rsidP="00EF570D">
            <w:pPr>
              <w:jc w:val="center"/>
              <w:rPr>
                <w:rFonts w:asciiTheme="majorEastAsia" w:eastAsiaTheme="majorEastAsia" w:hAnsiTheme="majorEastAsia"/>
                <w:szCs w:val="21"/>
              </w:rPr>
            </w:pPr>
            <w:bookmarkStart w:id="12" w:name="OLE_LINK14"/>
            <w:bookmarkStart w:id="13" w:name="OLE_LINK15"/>
            <w:bookmarkStart w:id="14" w:name="OLE_LINK16"/>
            <w:r w:rsidRPr="00E8509B">
              <w:rPr>
                <w:rFonts w:asciiTheme="majorEastAsia" w:eastAsiaTheme="majorEastAsia" w:hAnsiTheme="majorEastAsia"/>
                <w:szCs w:val="21"/>
              </w:rPr>
              <w:t>公共</w:t>
            </w:r>
            <w:r w:rsidRPr="00E8509B">
              <w:rPr>
                <w:rFonts w:asciiTheme="majorEastAsia" w:eastAsiaTheme="majorEastAsia" w:hAnsiTheme="majorEastAsia" w:hint="eastAsia"/>
                <w:szCs w:val="21"/>
              </w:rPr>
              <w:t>学</w:t>
            </w:r>
          </w:p>
          <w:p w:rsidR="00577DCA" w:rsidRPr="00E8509B" w:rsidRDefault="00577DCA" w:rsidP="00EF570D">
            <w:pPr>
              <w:jc w:val="center"/>
              <w:rPr>
                <w:rFonts w:asciiTheme="majorEastAsia" w:eastAsiaTheme="majorEastAsia" w:hAnsiTheme="majorEastAsia"/>
                <w:szCs w:val="21"/>
              </w:rPr>
            </w:pPr>
            <w:proofErr w:type="gramStart"/>
            <w:r w:rsidRPr="00E8509B">
              <w:rPr>
                <w:rFonts w:asciiTheme="majorEastAsia" w:eastAsiaTheme="majorEastAsia" w:hAnsiTheme="majorEastAsia" w:hint="eastAsia"/>
                <w:szCs w:val="21"/>
              </w:rPr>
              <w:t>位</w:t>
            </w:r>
            <w:r w:rsidRPr="00E8509B">
              <w:rPr>
                <w:rFonts w:asciiTheme="majorEastAsia" w:eastAsiaTheme="majorEastAsia" w:hAnsiTheme="majorEastAsia"/>
                <w:szCs w:val="21"/>
              </w:rPr>
              <w:t>课</w:t>
            </w:r>
            <w:proofErr w:type="gramEnd"/>
          </w:p>
        </w:tc>
        <w:tc>
          <w:tcPr>
            <w:tcW w:w="1287" w:type="dxa"/>
            <w:gridSpan w:val="2"/>
            <w:tcBorders>
              <w:top w:val="single" w:sz="6" w:space="0" w:color="000000"/>
              <w:left w:val="single" w:sz="4" w:space="0" w:color="auto"/>
              <w:bottom w:val="single" w:sz="4" w:space="0" w:color="auto"/>
            </w:tcBorders>
            <w:shd w:val="clear" w:color="auto" w:fill="FFFFFF" w:themeFill="background1"/>
            <w:vAlign w:val="center"/>
          </w:tcPr>
          <w:p w:rsidR="00577DCA" w:rsidRPr="00E8509B" w:rsidRDefault="00836349" w:rsidP="00577DCA">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2260005</w:t>
            </w:r>
          </w:p>
        </w:tc>
        <w:tc>
          <w:tcPr>
            <w:tcW w:w="4088" w:type="dxa"/>
            <w:tcBorders>
              <w:top w:val="single" w:sz="6" w:space="0" w:color="000000"/>
              <w:bottom w:val="single" w:sz="6" w:space="0" w:color="000000"/>
            </w:tcBorders>
            <w:shd w:val="clear" w:color="auto" w:fill="FFFFFF" w:themeFill="background1"/>
            <w:vAlign w:val="center"/>
          </w:tcPr>
          <w:p w:rsidR="00577DCA" w:rsidRPr="00E8509B" w:rsidRDefault="00577DCA" w:rsidP="00EF570D">
            <w:pPr>
              <w:rPr>
                <w:rFonts w:asciiTheme="majorEastAsia" w:eastAsiaTheme="majorEastAsia" w:hAnsiTheme="majorEastAsia"/>
                <w:szCs w:val="21"/>
              </w:rPr>
            </w:pPr>
            <w:r w:rsidRPr="00E8509B">
              <w:rPr>
                <w:rFonts w:asciiTheme="majorEastAsia" w:eastAsiaTheme="majorEastAsia" w:hAnsiTheme="majorEastAsia"/>
                <w:szCs w:val="21"/>
              </w:rPr>
              <w:t>中国特色社会主义理论与实践</w:t>
            </w:r>
          </w:p>
          <w:p w:rsidR="00577DCA" w:rsidRPr="00E8509B" w:rsidRDefault="00577DCA" w:rsidP="00EF570D">
            <w:pPr>
              <w:rPr>
                <w:rFonts w:asciiTheme="majorEastAsia" w:eastAsiaTheme="majorEastAsia" w:hAnsiTheme="majorEastAsia"/>
                <w:szCs w:val="21"/>
              </w:rPr>
            </w:pPr>
            <w:r w:rsidRPr="00E8509B">
              <w:rPr>
                <w:rFonts w:asciiTheme="majorEastAsia" w:eastAsiaTheme="majorEastAsia" w:hAnsiTheme="majorEastAsia"/>
                <w:szCs w:val="21"/>
              </w:rPr>
              <w:t>Theory &amp; Practice of Social</w:t>
            </w:r>
            <w:r w:rsidRPr="00E8509B">
              <w:rPr>
                <w:rFonts w:asciiTheme="majorEastAsia" w:eastAsiaTheme="majorEastAsia" w:hAnsiTheme="majorEastAsia" w:hint="eastAsia"/>
                <w:szCs w:val="21"/>
              </w:rPr>
              <w:t>i</w:t>
            </w:r>
            <w:r w:rsidRPr="00E8509B">
              <w:rPr>
                <w:rFonts w:asciiTheme="majorEastAsia" w:eastAsiaTheme="majorEastAsia" w:hAnsiTheme="majorEastAsia"/>
                <w:szCs w:val="21"/>
              </w:rPr>
              <w:t>sm</w:t>
            </w:r>
            <w:r w:rsidRPr="00E8509B">
              <w:rPr>
                <w:rFonts w:asciiTheme="majorEastAsia" w:eastAsiaTheme="majorEastAsia" w:hAnsiTheme="majorEastAsia" w:hint="eastAsia"/>
                <w:szCs w:val="21"/>
              </w:rPr>
              <w:t xml:space="preserve"> in China</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577DCA" w:rsidRPr="00E8509B" w:rsidRDefault="00577DCA"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577DCA" w:rsidRPr="00E8509B" w:rsidRDefault="00577DCA"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577DCA" w:rsidRPr="00E8509B" w:rsidRDefault="00577DCA" w:rsidP="00EF570D">
            <w:pPr>
              <w:jc w:val="center"/>
              <w:rPr>
                <w:rFonts w:asciiTheme="majorEastAsia" w:eastAsiaTheme="majorEastAsia" w:hAnsiTheme="majorEastAsia"/>
                <w:szCs w:val="21"/>
              </w:rPr>
            </w:pPr>
          </w:p>
        </w:tc>
      </w:tr>
      <w:bookmarkEnd w:id="12"/>
      <w:bookmarkEnd w:id="13"/>
      <w:bookmarkEnd w:id="14"/>
      <w:tr w:rsidR="00DE1BDB" w:rsidRPr="00E65416" w:rsidTr="00E8509B">
        <w:trPr>
          <w:trHeight w:val="560"/>
          <w:jc w:val="center"/>
        </w:trPr>
        <w:tc>
          <w:tcPr>
            <w:tcW w:w="870" w:type="dxa"/>
            <w:gridSpan w:val="2"/>
            <w:vMerge/>
            <w:tcBorders>
              <w:left w:val="single" w:sz="4" w:space="0" w:color="auto"/>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2090305</w:t>
            </w:r>
          </w:p>
        </w:tc>
        <w:tc>
          <w:tcPr>
            <w:tcW w:w="4088" w:type="dxa"/>
            <w:tcBorders>
              <w:top w:val="single" w:sz="6" w:space="0" w:color="000000"/>
              <w:bottom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英语学术文献阅读与翻译</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1.5</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36</w:t>
            </w:r>
          </w:p>
        </w:tc>
        <w:tc>
          <w:tcPr>
            <w:tcW w:w="660" w:type="dxa"/>
            <w:vMerge w:val="restart"/>
            <w:tcBorders>
              <w:top w:val="single" w:sz="6" w:space="0" w:color="000000"/>
              <w:left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4选2</w:t>
            </w:r>
          </w:p>
        </w:tc>
      </w:tr>
      <w:tr w:rsidR="00DE1BDB" w:rsidRPr="00E65416" w:rsidTr="00E8509B">
        <w:trPr>
          <w:trHeight w:val="560"/>
          <w:jc w:val="center"/>
        </w:trPr>
        <w:tc>
          <w:tcPr>
            <w:tcW w:w="870" w:type="dxa"/>
            <w:gridSpan w:val="2"/>
            <w:vMerge/>
            <w:tcBorders>
              <w:left w:val="single" w:sz="4" w:space="0" w:color="auto"/>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2090306</w:t>
            </w:r>
          </w:p>
        </w:tc>
        <w:tc>
          <w:tcPr>
            <w:tcW w:w="4088" w:type="dxa"/>
            <w:tcBorders>
              <w:top w:val="single" w:sz="6" w:space="0" w:color="000000"/>
              <w:bottom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学术英语写作II</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901A5F">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1.5</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901A5F">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36</w:t>
            </w:r>
          </w:p>
        </w:tc>
        <w:tc>
          <w:tcPr>
            <w:tcW w:w="660" w:type="dxa"/>
            <w:vMerge/>
            <w:tcBorders>
              <w:left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60"/>
          <w:jc w:val="center"/>
        </w:trPr>
        <w:tc>
          <w:tcPr>
            <w:tcW w:w="870" w:type="dxa"/>
            <w:gridSpan w:val="2"/>
            <w:vMerge/>
            <w:tcBorders>
              <w:left w:val="single" w:sz="4" w:space="0" w:color="auto"/>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2090307</w:t>
            </w:r>
          </w:p>
        </w:tc>
        <w:tc>
          <w:tcPr>
            <w:tcW w:w="4088" w:type="dxa"/>
            <w:tcBorders>
              <w:top w:val="single" w:sz="6" w:space="0" w:color="000000"/>
              <w:bottom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中国文化英语概论II</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901A5F">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1.5</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901A5F">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36</w:t>
            </w:r>
          </w:p>
        </w:tc>
        <w:tc>
          <w:tcPr>
            <w:tcW w:w="660" w:type="dxa"/>
            <w:vMerge/>
            <w:tcBorders>
              <w:left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60"/>
          <w:jc w:val="center"/>
        </w:trPr>
        <w:tc>
          <w:tcPr>
            <w:tcW w:w="870" w:type="dxa"/>
            <w:gridSpan w:val="2"/>
            <w:vMerge/>
            <w:tcBorders>
              <w:left w:val="single" w:sz="4" w:space="0" w:color="auto"/>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2090308</w:t>
            </w:r>
          </w:p>
        </w:tc>
        <w:tc>
          <w:tcPr>
            <w:tcW w:w="4088" w:type="dxa"/>
            <w:tcBorders>
              <w:top w:val="single" w:sz="6" w:space="0" w:color="000000"/>
              <w:bottom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国际交流英语视听说II</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901A5F">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1.5</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901A5F">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36</w:t>
            </w:r>
          </w:p>
        </w:tc>
        <w:tc>
          <w:tcPr>
            <w:tcW w:w="660" w:type="dxa"/>
            <w:vMerge/>
            <w:tcBorders>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60"/>
          <w:jc w:val="center"/>
        </w:trPr>
        <w:tc>
          <w:tcPr>
            <w:tcW w:w="870" w:type="dxa"/>
            <w:gridSpan w:val="2"/>
            <w:vMerge w:val="restart"/>
            <w:tcBorders>
              <w:left w:val="single" w:sz="4" w:space="0" w:color="auto"/>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核</w:t>
            </w: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心</w:t>
            </w: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课</w:t>
            </w:r>
          </w:p>
        </w:tc>
        <w:tc>
          <w:tcPr>
            <w:tcW w:w="1287" w:type="dxa"/>
            <w:gridSpan w:val="2"/>
            <w:tcBorders>
              <w:left w:val="single" w:sz="4" w:space="0" w:color="auto"/>
              <w:bottom w:val="single" w:sz="4" w:space="0" w:color="auto"/>
            </w:tcBorders>
            <w:shd w:val="clear" w:color="auto" w:fill="FFFFFF" w:themeFill="background1"/>
            <w:vAlign w:val="center"/>
          </w:tcPr>
          <w:p w:rsidR="00DE1BDB" w:rsidRPr="00E8509B" w:rsidRDefault="00DE1BDB">
            <w:pPr>
              <w:widowControl/>
              <w:jc w:val="left"/>
              <w:rPr>
                <w:rFonts w:asciiTheme="majorEastAsia" w:eastAsiaTheme="majorEastAsia" w:hAnsiTheme="majorEastAsia"/>
                <w:szCs w:val="21"/>
              </w:rPr>
            </w:pPr>
          </w:p>
          <w:p w:rsidR="00DE1BDB" w:rsidRPr="00E8509B" w:rsidRDefault="00DE1BDB" w:rsidP="00577DCA">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2040246</w:t>
            </w:r>
          </w:p>
        </w:tc>
        <w:tc>
          <w:tcPr>
            <w:tcW w:w="4088" w:type="dxa"/>
            <w:tcBorders>
              <w:top w:val="single" w:sz="6" w:space="0" w:color="000000"/>
              <w:bottom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szCs w:val="21"/>
              </w:rPr>
              <w:t>金融理论与政策</w:t>
            </w:r>
          </w:p>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Financial Theory and Policy</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3</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54</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00"/>
          <w:jc w:val="center"/>
        </w:trPr>
        <w:tc>
          <w:tcPr>
            <w:tcW w:w="870" w:type="dxa"/>
            <w:gridSpan w:val="2"/>
            <w:vMerge/>
            <w:tcBorders>
              <w:left w:val="single" w:sz="4" w:space="0" w:color="auto"/>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pPr>
              <w:widowControl/>
              <w:jc w:val="left"/>
              <w:rPr>
                <w:rFonts w:asciiTheme="majorEastAsia" w:eastAsiaTheme="majorEastAsia" w:hAnsiTheme="majorEastAsia"/>
                <w:szCs w:val="21"/>
              </w:rPr>
            </w:pPr>
          </w:p>
          <w:p w:rsidR="00DE1BDB" w:rsidRPr="00E8509B" w:rsidRDefault="00DE1BDB" w:rsidP="00577DCA">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2040364</w:t>
            </w:r>
          </w:p>
        </w:tc>
        <w:tc>
          <w:tcPr>
            <w:tcW w:w="4088" w:type="dxa"/>
            <w:tcBorders>
              <w:top w:val="single" w:sz="6" w:space="0" w:color="000000"/>
              <w:bottom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szCs w:val="21"/>
              </w:rPr>
              <w:t>金融衍生工具</w:t>
            </w:r>
          </w:p>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Financial Derivatives Markets and Tools</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3</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54</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00"/>
          <w:jc w:val="center"/>
        </w:trPr>
        <w:tc>
          <w:tcPr>
            <w:tcW w:w="870" w:type="dxa"/>
            <w:gridSpan w:val="2"/>
            <w:vMerge/>
            <w:tcBorders>
              <w:left w:val="single" w:sz="4" w:space="0" w:color="auto"/>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pPr>
              <w:widowControl/>
              <w:jc w:val="left"/>
              <w:rPr>
                <w:rFonts w:asciiTheme="majorEastAsia" w:eastAsiaTheme="majorEastAsia" w:hAnsiTheme="majorEastAsia"/>
                <w:szCs w:val="21"/>
              </w:rPr>
            </w:pPr>
          </w:p>
          <w:p w:rsidR="00DE1BDB" w:rsidRPr="00E8509B" w:rsidRDefault="00DE1BDB" w:rsidP="00577DCA">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2040363</w:t>
            </w:r>
          </w:p>
        </w:tc>
        <w:tc>
          <w:tcPr>
            <w:tcW w:w="4088" w:type="dxa"/>
            <w:tcBorders>
              <w:top w:val="single" w:sz="6" w:space="0" w:color="000000"/>
              <w:bottom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szCs w:val="21"/>
              </w:rPr>
              <w:t>金融机构与市场</w:t>
            </w:r>
          </w:p>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Financial Institutions and Markets</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3</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54</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00"/>
          <w:jc w:val="center"/>
        </w:trPr>
        <w:tc>
          <w:tcPr>
            <w:tcW w:w="870" w:type="dxa"/>
            <w:gridSpan w:val="2"/>
            <w:vMerge/>
            <w:tcBorders>
              <w:left w:val="single" w:sz="4" w:space="0" w:color="auto"/>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rsidP="00577DCA">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2040362</w:t>
            </w:r>
          </w:p>
        </w:tc>
        <w:tc>
          <w:tcPr>
            <w:tcW w:w="4088" w:type="dxa"/>
            <w:tcBorders>
              <w:top w:val="single" w:sz="6" w:space="0" w:color="000000"/>
              <w:bottom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szCs w:val="21"/>
              </w:rPr>
              <w:t>公司金融（含财务报表分析）</w:t>
            </w:r>
          </w:p>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Corporation Finance</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3</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54</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00"/>
          <w:jc w:val="center"/>
        </w:trPr>
        <w:tc>
          <w:tcPr>
            <w:tcW w:w="870" w:type="dxa"/>
            <w:gridSpan w:val="2"/>
            <w:vMerge/>
            <w:tcBorders>
              <w:left w:val="single" w:sz="4" w:space="0" w:color="auto"/>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2040365</w:t>
            </w:r>
          </w:p>
        </w:tc>
        <w:tc>
          <w:tcPr>
            <w:tcW w:w="4088" w:type="dxa"/>
            <w:tcBorders>
              <w:top w:val="single" w:sz="6" w:space="0" w:color="000000"/>
              <w:bottom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szCs w:val="21"/>
              </w:rPr>
              <w:t>投资学</w:t>
            </w:r>
          </w:p>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Investments</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3</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54</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00"/>
          <w:jc w:val="center"/>
        </w:trPr>
        <w:tc>
          <w:tcPr>
            <w:tcW w:w="870" w:type="dxa"/>
            <w:gridSpan w:val="2"/>
            <w:vMerge/>
            <w:tcBorders>
              <w:left w:val="single" w:sz="4" w:space="0" w:color="auto"/>
              <w:bottom w:val="single" w:sz="6" w:space="0" w:color="000000"/>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2040361</w:t>
            </w:r>
          </w:p>
        </w:tc>
        <w:tc>
          <w:tcPr>
            <w:tcW w:w="4088" w:type="dxa"/>
            <w:tcBorders>
              <w:top w:val="single" w:sz="6" w:space="0" w:color="000000"/>
              <w:bottom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szCs w:val="21"/>
              </w:rPr>
              <w:t>计量金融学</w:t>
            </w:r>
          </w:p>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Financial Econometrics</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3</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54</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00"/>
          <w:jc w:val="center"/>
        </w:trPr>
        <w:tc>
          <w:tcPr>
            <w:tcW w:w="870" w:type="dxa"/>
            <w:gridSpan w:val="2"/>
            <w:vMerge w:val="restart"/>
            <w:tcBorders>
              <w:top w:val="single" w:sz="4" w:space="0" w:color="auto"/>
              <w:left w:val="single" w:sz="6" w:space="0" w:color="000000"/>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选</w:t>
            </w: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修</w:t>
            </w: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课</w:t>
            </w: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 xml:space="preserve">             </w:t>
            </w:r>
          </w:p>
          <w:p w:rsidR="00DE1BDB" w:rsidRPr="00E8509B" w:rsidRDefault="00DE1BDB" w:rsidP="00EF570D">
            <w:pPr>
              <w:jc w:val="center"/>
              <w:rPr>
                <w:rFonts w:asciiTheme="majorEastAsia" w:eastAsiaTheme="majorEastAsia" w:hAnsiTheme="majorEastAsia"/>
                <w:szCs w:val="21"/>
              </w:rPr>
            </w:pPr>
          </w:p>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rsidP="00577DCA">
            <w:pPr>
              <w:jc w:val="center"/>
              <w:rPr>
                <w:rFonts w:asciiTheme="majorEastAsia" w:eastAsiaTheme="majorEastAsia" w:hAnsiTheme="majorEastAsia"/>
                <w:szCs w:val="21"/>
              </w:rPr>
            </w:pPr>
            <w:r w:rsidRPr="00E8509B">
              <w:rPr>
                <w:rFonts w:asciiTheme="majorEastAsia" w:eastAsiaTheme="majorEastAsia" w:hAnsiTheme="majorEastAsia" w:hint="eastAsia"/>
                <w:szCs w:val="21"/>
              </w:rPr>
              <w:lastRenderedPageBreak/>
              <w:t>2040358</w:t>
            </w:r>
          </w:p>
        </w:tc>
        <w:tc>
          <w:tcPr>
            <w:tcW w:w="4088"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szCs w:val="21"/>
              </w:rPr>
              <w:t>固定收益证</w:t>
            </w:r>
            <w:proofErr w:type="gramStart"/>
            <w:r w:rsidRPr="00E8509B">
              <w:rPr>
                <w:rFonts w:asciiTheme="majorEastAsia" w:eastAsiaTheme="majorEastAsia" w:hAnsiTheme="majorEastAsia"/>
                <w:szCs w:val="21"/>
              </w:rPr>
              <w:t>劵</w:t>
            </w:r>
            <w:proofErr w:type="gramEnd"/>
          </w:p>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Fixed-income Security</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00"/>
          <w:jc w:val="center"/>
        </w:trPr>
        <w:tc>
          <w:tcPr>
            <w:tcW w:w="870" w:type="dxa"/>
            <w:gridSpan w:val="2"/>
            <w:vMerge/>
            <w:tcBorders>
              <w:left w:val="single" w:sz="6" w:space="0" w:color="000000"/>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pPr>
              <w:widowControl/>
              <w:jc w:val="left"/>
              <w:rPr>
                <w:rFonts w:asciiTheme="majorEastAsia" w:eastAsiaTheme="majorEastAsia" w:hAnsiTheme="majorEastAsia"/>
                <w:szCs w:val="21"/>
              </w:rPr>
            </w:pPr>
          </w:p>
          <w:p w:rsidR="00DE1BDB" w:rsidRPr="00E8509B" w:rsidRDefault="00DE1BDB" w:rsidP="00577DCA">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2040348</w:t>
            </w:r>
          </w:p>
        </w:tc>
        <w:tc>
          <w:tcPr>
            <w:tcW w:w="4088"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新时代国际金融</w:t>
            </w:r>
          </w:p>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New International Finance</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00"/>
          <w:jc w:val="center"/>
        </w:trPr>
        <w:tc>
          <w:tcPr>
            <w:tcW w:w="870" w:type="dxa"/>
            <w:gridSpan w:val="2"/>
            <w:vMerge/>
            <w:tcBorders>
              <w:left w:val="single" w:sz="6" w:space="0" w:color="000000"/>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pPr>
              <w:widowControl/>
              <w:jc w:val="left"/>
              <w:rPr>
                <w:rFonts w:asciiTheme="majorEastAsia" w:eastAsiaTheme="majorEastAsia" w:hAnsiTheme="majorEastAsia"/>
                <w:szCs w:val="21"/>
              </w:rPr>
            </w:pPr>
          </w:p>
          <w:p w:rsidR="00DE1BDB" w:rsidRPr="00E8509B" w:rsidRDefault="00DE1BDB" w:rsidP="00577DCA">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2040347</w:t>
            </w:r>
          </w:p>
        </w:tc>
        <w:tc>
          <w:tcPr>
            <w:tcW w:w="4088"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中国特色信托</w:t>
            </w:r>
          </w:p>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szCs w:val="21"/>
              </w:rPr>
              <w:t xml:space="preserve">Trust </w:t>
            </w:r>
            <w:r w:rsidRPr="00E8509B">
              <w:rPr>
                <w:rFonts w:asciiTheme="majorEastAsia" w:eastAsiaTheme="majorEastAsia" w:hAnsiTheme="majorEastAsia" w:hint="eastAsia"/>
                <w:szCs w:val="21"/>
              </w:rPr>
              <w:t>in China</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00"/>
          <w:jc w:val="center"/>
        </w:trPr>
        <w:tc>
          <w:tcPr>
            <w:tcW w:w="870" w:type="dxa"/>
            <w:gridSpan w:val="2"/>
            <w:vMerge/>
            <w:tcBorders>
              <w:left w:val="single" w:sz="6" w:space="0" w:color="000000"/>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pPr>
              <w:widowControl/>
              <w:jc w:val="left"/>
              <w:rPr>
                <w:rFonts w:asciiTheme="majorEastAsia" w:eastAsiaTheme="majorEastAsia" w:hAnsiTheme="majorEastAsia"/>
                <w:szCs w:val="21"/>
              </w:rPr>
            </w:pPr>
          </w:p>
          <w:p w:rsidR="00DE1BDB" w:rsidRPr="00E8509B" w:rsidRDefault="00DE1BDB" w:rsidP="00577DCA">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2040345</w:t>
            </w:r>
          </w:p>
        </w:tc>
        <w:tc>
          <w:tcPr>
            <w:tcW w:w="4088"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私</w:t>
            </w:r>
            <w:proofErr w:type="gramStart"/>
            <w:r w:rsidRPr="00E8509B">
              <w:rPr>
                <w:rFonts w:asciiTheme="majorEastAsia" w:eastAsiaTheme="majorEastAsia" w:hAnsiTheme="majorEastAsia" w:hint="eastAsia"/>
                <w:szCs w:val="21"/>
              </w:rPr>
              <w:t>募股权</w:t>
            </w:r>
            <w:proofErr w:type="gramEnd"/>
            <w:r w:rsidRPr="00E8509B">
              <w:rPr>
                <w:rFonts w:asciiTheme="majorEastAsia" w:eastAsiaTheme="majorEastAsia" w:hAnsiTheme="majorEastAsia" w:hint="eastAsia"/>
                <w:szCs w:val="21"/>
              </w:rPr>
              <w:t>投资</w:t>
            </w:r>
          </w:p>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Private Equity Investment</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1</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18</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00"/>
          <w:jc w:val="center"/>
        </w:trPr>
        <w:tc>
          <w:tcPr>
            <w:tcW w:w="870" w:type="dxa"/>
            <w:gridSpan w:val="2"/>
            <w:vMerge/>
            <w:tcBorders>
              <w:left w:val="single" w:sz="6" w:space="0" w:color="000000"/>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rsidP="00577DCA">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2040355</w:t>
            </w:r>
          </w:p>
        </w:tc>
        <w:tc>
          <w:tcPr>
            <w:tcW w:w="4088"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szCs w:val="21"/>
              </w:rPr>
              <w:t>企业并购与重组</w:t>
            </w:r>
          </w:p>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 xml:space="preserve">Mergers, Acquisitions and Reorganization </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00"/>
          <w:jc w:val="center"/>
        </w:trPr>
        <w:tc>
          <w:tcPr>
            <w:tcW w:w="870" w:type="dxa"/>
            <w:gridSpan w:val="2"/>
            <w:vMerge/>
            <w:tcBorders>
              <w:left w:val="single" w:sz="6" w:space="0" w:color="000000"/>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2040354</w:t>
            </w:r>
          </w:p>
        </w:tc>
        <w:tc>
          <w:tcPr>
            <w:tcW w:w="4088"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szCs w:val="21"/>
              </w:rPr>
              <w:t>项目</w:t>
            </w:r>
            <w:r w:rsidRPr="00E8509B">
              <w:rPr>
                <w:rFonts w:asciiTheme="majorEastAsia" w:eastAsiaTheme="majorEastAsia" w:hAnsiTheme="majorEastAsia" w:hint="eastAsia"/>
                <w:szCs w:val="21"/>
              </w:rPr>
              <w:t>管理与项目</w:t>
            </w:r>
            <w:r w:rsidRPr="00E8509B">
              <w:rPr>
                <w:rFonts w:asciiTheme="majorEastAsia" w:eastAsiaTheme="majorEastAsia" w:hAnsiTheme="majorEastAsia"/>
                <w:szCs w:val="21"/>
              </w:rPr>
              <w:t>融资</w:t>
            </w:r>
          </w:p>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Project Finance</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00"/>
          <w:jc w:val="center"/>
        </w:trPr>
        <w:tc>
          <w:tcPr>
            <w:tcW w:w="870" w:type="dxa"/>
            <w:gridSpan w:val="2"/>
            <w:vMerge/>
            <w:tcBorders>
              <w:left w:val="single" w:sz="6" w:space="0" w:color="000000"/>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2040360</w:t>
            </w:r>
          </w:p>
        </w:tc>
        <w:tc>
          <w:tcPr>
            <w:tcW w:w="4088"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left"/>
              <w:rPr>
                <w:rFonts w:asciiTheme="majorEastAsia" w:eastAsiaTheme="majorEastAsia" w:hAnsiTheme="majorEastAsia"/>
                <w:szCs w:val="21"/>
              </w:rPr>
            </w:pPr>
            <w:r w:rsidRPr="00E8509B">
              <w:rPr>
                <w:rFonts w:asciiTheme="majorEastAsia" w:eastAsiaTheme="majorEastAsia" w:hAnsiTheme="majorEastAsia"/>
                <w:szCs w:val="21"/>
              </w:rPr>
              <w:t>金融企业风险管理</w:t>
            </w:r>
          </w:p>
          <w:p w:rsidR="00DE1BDB" w:rsidRPr="00E8509B" w:rsidRDefault="00DE1BDB" w:rsidP="00EF570D">
            <w:pPr>
              <w:jc w:val="left"/>
              <w:rPr>
                <w:rFonts w:asciiTheme="majorEastAsia" w:eastAsiaTheme="majorEastAsia" w:hAnsiTheme="majorEastAsia"/>
                <w:szCs w:val="21"/>
              </w:rPr>
            </w:pPr>
            <w:r w:rsidRPr="00E8509B">
              <w:rPr>
                <w:rFonts w:asciiTheme="majorEastAsia" w:eastAsiaTheme="majorEastAsia" w:hAnsiTheme="majorEastAsia" w:hint="eastAsia"/>
                <w:szCs w:val="21"/>
              </w:rPr>
              <w:t>Risk Management of Financial Institutions</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00"/>
          <w:jc w:val="center"/>
        </w:trPr>
        <w:tc>
          <w:tcPr>
            <w:tcW w:w="870" w:type="dxa"/>
            <w:gridSpan w:val="2"/>
            <w:vMerge/>
            <w:tcBorders>
              <w:left w:val="single" w:sz="6" w:space="0" w:color="000000"/>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cs="宋体"/>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cs="宋体"/>
                <w:szCs w:val="21"/>
              </w:rPr>
            </w:pPr>
            <w:r w:rsidRPr="00E8509B">
              <w:rPr>
                <w:rFonts w:asciiTheme="majorEastAsia" w:eastAsiaTheme="majorEastAsia" w:hAnsiTheme="majorEastAsia" w:cs="宋体" w:hint="eastAsia"/>
                <w:szCs w:val="21"/>
              </w:rPr>
              <w:t>2040366</w:t>
            </w:r>
          </w:p>
        </w:tc>
        <w:tc>
          <w:tcPr>
            <w:tcW w:w="4088"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left"/>
              <w:rPr>
                <w:rFonts w:asciiTheme="majorEastAsia" w:eastAsiaTheme="majorEastAsia" w:hAnsiTheme="majorEastAsia"/>
                <w:szCs w:val="21"/>
              </w:rPr>
            </w:pPr>
            <w:r w:rsidRPr="00E8509B">
              <w:rPr>
                <w:rFonts w:asciiTheme="majorEastAsia" w:eastAsiaTheme="majorEastAsia" w:hAnsiTheme="majorEastAsia"/>
                <w:szCs w:val="21"/>
              </w:rPr>
              <w:t>商业银行经营管理案例</w:t>
            </w:r>
          </w:p>
          <w:p w:rsidR="00DE1BDB" w:rsidRPr="00E8509B" w:rsidRDefault="00DE1BDB" w:rsidP="00EF570D">
            <w:pPr>
              <w:jc w:val="left"/>
              <w:rPr>
                <w:rFonts w:asciiTheme="majorEastAsia" w:eastAsiaTheme="majorEastAsia" w:hAnsiTheme="majorEastAsia"/>
                <w:szCs w:val="21"/>
              </w:rPr>
            </w:pPr>
            <w:r w:rsidRPr="00E8509B">
              <w:rPr>
                <w:rFonts w:asciiTheme="majorEastAsia" w:eastAsiaTheme="majorEastAsia" w:hAnsiTheme="majorEastAsia" w:hint="eastAsia"/>
                <w:szCs w:val="21"/>
              </w:rPr>
              <w:t>Commercial Bank Management Cases</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60"/>
          <w:jc w:val="center"/>
        </w:trPr>
        <w:tc>
          <w:tcPr>
            <w:tcW w:w="870" w:type="dxa"/>
            <w:gridSpan w:val="2"/>
            <w:vMerge/>
            <w:tcBorders>
              <w:left w:val="single" w:sz="6" w:space="0" w:color="000000"/>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2040352</w:t>
            </w:r>
          </w:p>
        </w:tc>
        <w:tc>
          <w:tcPr>
            <w:tcW w:w="4088"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left"/>
              <w:rPr>
                <w:rFonts w:asciiTheme="majorEastAsia" w:eastAsiaTheme="majorEastAsia" w:hAnsiTheme="majorEastAsia"/>
                <w:szCs w:val="21"/>
                <w:shd w:val="clear" w:color="auto" w:fill="FFFFFF"/>
              </w:rPr>
            </w:pPr>
            <w:r w:rsidRPr="00E8509B">
              <w:rPr>
                <w:rFonts w:asciiTheme="majorEastAsia" w:eastAsiaTheme="majorEastAsia" w:hAnsiTheme="majorEastAsia"/>
                <w:szCs w:val="21"/>
                <w:shd w:val="clear" w:color="auto" w:fill="FFFFFF"/>
              </w:rPr>
              <w:t>金融产品设计和定价</w:t>
            </w:r>
          </w:p>
          <w:p w:rsidR="00DE1BDB" w:rsidRPr="00E8509B" w:rsidRDefault="00DE1BDB" w:rsidP="00EF570D">
            <w:pPr>
              <w:jc w:val="left"/>
              <w:rPr>
                <w:rFonts w:asciiTheme="majorEastAsia" w:eastAsiaTheme="majorEastAsia" w:hAnsiTheme="majorEastAsia"/>
                <w:szCs w:val="21"/>
              </w:rPr>
            </w:pPr>
            <w:r w:rsidRPr="00E8509B">
              <w:rPr>
                <w:rFonts w:asciiTheme="majorEastAsia" w:eastAsiaTheme="majorEastAsia" w:hAnsiTheme="majorEastAsia" w:hint="eastAsia"/>
                <w:szCs w:val="21"/>
                <w:shd w:val="clear" w:color="auto" w:fill="FFFFFF"/>
              </w:rPr>
              <w:t xml:space="preserve">Designing and Pricing of Financial Products </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60"/>
          <w:jc w:val="center"/>
        </w:trPr>
        <w:tc>
          <w:tcPr>
            <w:tcW w:w="870" w:type="dxa"/>
            <w:gridSpan w:val="2"/>
            <w:vMerge/>
            <w:tcBorders>
              <w:left w:val="single" w:sz="6" w:space="0" w:color="000000"/>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cs="宋体"/>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cs="宋体"/>
                <w:szCs w:val="21"/>
              </w:rPr>
            </w:pPr>
            <w:r w:rsidRPr="00E8509B">
              <w:rPr>
                <w:rFonts w:asciiTheme="majorEastAsia" w:eastAsiaTheme="majorEastAsia" w:hAnsiTheme="majorEastAsia" w:cs="宋体" w:hint="eastAsia"/>
                <w:szCs w:val="21"/>
              </w:rPr>
              <w:t>2040357</w:t>
            </w:r>
          </w:p>
        </w:tc>
        <w:tc>
          <w:tcPr>
            <w:tcW w:w="4088"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szCs w:val="21"/>
              </w:rPr>
              <w:t>金融工程案例分析</w:t>
            </w:r>
          </w:p>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Financial Engineering Case Study</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00"/>
          <w:jc w:val="center"/>
        </w:trPr>
        <w:tc>
          <w:tcPr>
            <w:tcW w:w="870" w:type="dxa"/>
            <w:gridSpan w:val="2"/>
            <w:vMerge/>
            <w:tcBorders>
              <w:left w:val="single" w:sz="6" w:space="0" w:color="000000"/>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2040356</w:t>
            </w:r>
          </w:p>
        </w:tc>
        <w:tc>
          <w:tcPr>
            <w:tcW w:w="4088"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left"/>
              <w:rPr>
                <w:rFonts w:asciiTheme="majorEastAsia" w:eastAsiaTheme="majorEastAsia" w:hAnsiTheme="majorEastAsia"/>
                <w:szCs w:val="21"/>
              </w:rPr>
            </w:pPr>
            <w:r w:rsidRPr="00E8509B">
              <w:rPr>
                <w:rFonts w:asciiTheme="majorEastAsia" w:eastAsiaTheme="majorEastAsia" w:hAnsiTheme="majorEastAsia"/>
                <w:szCs w:val="21"/>
              </w:rPr>
              <w:t>金融模型与计算</w:t>
            </w:r>
          </w:p>
          <w:p w:rsidR="00DE1BDB" w:rsidRPr="00E8509B" w:rsidRDefault="00DE1BDB" w:rsidP="00EF570D">
            <w:pPr>
              <w:jc w:val="left"/>
              <w:rPr>
                <w:rFonts w:asciiTheme="majorEastAsia" w:eastAsiaTheme="majorEastAsia" w:hAnsiTheme="majorEastAsia"/>
                <w:szCs w:val="21"/>
              </w:rPr>
            </w:pPr>
            <w:r w:rsidRPr="00E8509B">
              <w:rPr>
                <w:rFonts w:asciiTheme="majorEastAsia" w:eastAsiaTheme="majorEastAsia" w:hAnsiTheme="majorEastAsia"/>
                <w:szCs w:val="21"/>
              </w:rPr>
              <w:t>Financial</w:t>
            </w:r>
            <w:r w:rsidRPr="00E8509B">
              <w:rPr>
                <w:rFonts w:asciiTheme="majorEastAsia" w:eastAsiaTheme="majorEastAsia" w:hAnsiTheme="majorEastAsia" w:hint="eastAsia"/>
                <w:szCs w:val="21"/>
              </w:rPr>
              <w:t xml:space="preserve"> Modeling and Computing</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674"/>
          <w:jc w:val="center"/>
        </w:trPr>
        <w:tc>
          <w:tcPr>
            <w:tcW w:w="870" w:type="dxa"/>
            <w:gridSpan w:val="2"/>
            <w:vMerge/>
            <w:tcBorders>
              <w:left w:val="single" w:sz="6" w:space="0" w:color="000000"/>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2040349</w:t>
            </w:r>
          </w:p>
        </w:tc>
        <w:tc>
          <w:tcPr>
            <w:tcW w:w="4088" w:type="dxa"/>
            <w:tcBorders>
              <w:top w:val="single" w:sz="6" w:space="0" w:color="000000"/>
              <w:left w:val="single" w:sz="6" w:space="0" w:color="000000"/>
              <w:bottom w:val="single" w:sz="4" w:space="0" w:color="auto"/>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szCs w:val="21"/>
              </w:rPr>
              <w:t>金融</w:t>
            </w:r>
            <w:r w:rsidRPr="00E8509B">
              <w:rPr>
                <w:rFonts w:asciiTheme="majorEastAsia" w:eastAsiaTheme="majorEastAsia" w:hAnsiTheme="majorEastAsia" w:hint="eastAsia"/>
                <w:szCs w:val="21"/>
              </w:rPr>
              <w:t>科技理论与实践</w:t>
            </w:r>
          </w:p>
          <w:p w:rsidR="00DE1BDB" w:rsidRPr="00E8509B" w:rsidRDefault="00DE1BDB" w:rsidP="005D4DE1">
            <w:pPr>
              <w:jc w:val="left"/>
              <w:rPr>
                <w:rFonts w:asciiTheme="majorEastAsia" w:eastAsiaTheme="majorEastAsia" w:hAnsiTheme="majorEastAsia"/>
                <w:szCs w:val="21"/>
              </w:rPr>
            </w:pPr>
            <w:r w:rsidRPr="00E8509B">
              <w:rPr>
                <w:rFonts w:asciiTheme="majorEastAsia" w:eastAsiaTheme="majorEastAsia" w:hAnsiTheme="majorEastAsia" w:hint="eastAsia"/>
                <w:szCs w:val="21"/>
              </w:rPr>
              <w:t>Fintech: Scenarios and Applications</w:t>
            </w:r>
          </w:p>
        </w:tc>
        <w:tc>
          <w:tcPr>
            <w:tcW w:w="719" w:type="dxa"/>
            <w:tcBorders>
              <w:top w:val="single" w:sz="6" w:space="0" w:color="000000"/>
              <w:left w:val="single" w:sz="6" w:space="0" w:color="000000"/>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2</w:t>
            </w:r>
          </w:p>
          <w:p w:rsidR="00DE1BDB" w:rsidRPr="00E8509B" w:rsidRDefault="00DE1BDB" w:rsidP="00EF570D">
            <w:pPr>
              <w:jc w:val="center"/>
              <w:rPr>
                <w:rFonts w:asciiTheme="majorEastAsia" w:eastAsiaTheme="majorEastAsia" w:hAnsiTheme="majorEastAsia"/>
                <w:szCs w:val="21"/>
              </w:rPr>
            </w:pPr>
          </w:p>
        </w:tc>
        <w:tc>
          <w:tcPr>
            <w:tcW w:w="720" w:type="dxa"/>
            <w:tcBorders>
              <w:top w:val="single" w:sz="6" w:space="0" w:color="000000"/>
              <w:left w:val="single" w:sz="6" w:space="0" w:color="000000"/>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36</w:t>
            </w:r>
          </w:p>
          <w:p w:rsidR="00DE1BDB" w:rsidRPr="00E8509B" w:rsidRDefault="00DE1BDB" w:rsidP="00EF570D">
            <w:pPr>
              <w:jc w:val="center"/>
              <w:rPr>
                <w:rFonts w:asciiTheme="majorEastAsia" w:eastAsiaTheme="majorEastAsia" w:hAnsiTheme="majorEastAsia"/>
                <w:szCs w:val="21"/>
              </w:rPr>
            </w:pPr>
          </w:p>
        </w:tc>
        <w:tc>
          <w:tcPr>
            <w:tcW w:w="660" w:type="dxa"/>
            <w:tcBorders>
              <w:top w:val="single" w:sz="6" w:space="0" w:color="000000"/>
              <w:left w:val="single" w:sz="6" w:space="0" w:color="000000"/>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600"/>
          <w:jc w:val="center"/>
        </w:trPr>
        <w:tc>
          <w:tcPr>
            <w:tcW w:w="870" w:type="dxa"/>
            <w:gridSpan w:val="2"/>
            <w:vMerge/>
            <w:tcBorders>
              <w:left w:val="single" w:sz="6" w:space="0" w:color="000000"/>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2040351</w:t>
            </w:r>
          </w:p>
        </w:tc>
        <w:tc>
          <w:tcPr>
            <w:tcW w:w="4088" w:type="dxa"/>
            <w:tcBorders>
              <w:top w:val="single" w:sz="4" w:space="0" w:color="auto"/>
              <w:left w:val="single" w:sz="6" w:space="0" w:color="000000"/>
              <w:bottom w:val="single" w:sz="4" w:space="0" w:color="auto"/>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基于R语言的金融数据分析</w:t>
            </w:r>
          </w:p>
          <w:p w:rsidR="00DE1BDB" w:rsidRPr="00E8509B" w:rsidRDefault="00DE1BDB" w:rsidP="005D4DE1">
            <w:pPr>
              <w:rPr>
                <w:rFonts w:asciiTheme="majorEastAsia" w:eastAsiaTheme="majorEastAsia" w:hAnsiTheme="majorEastAsia"/>
                <w:szCs w:val="21"/>
              </w:rPr>
            </w:pPr>
            <w:r w:rsidRPr="00E8509B">
              <w:rPr>
                <w:rFonts w:asciiTheme="majorEastAsia" w:eastAsiaTheme="majorEastAsia" w:hAnsiTheme="majorEastAsia" w:hint="eastAsia"/>
                <w:szCs w:val="21"/>
              </w:rPr>
              <w:t>Financial Data Analysis With R</w:t>
            </w:r>
          </w:p>
        </w:tc>
        <w:tc>
          <w:tcPr>
            <w:tcW w:w="719" w:type="dxa"/>
            <w:tcBorders>
              <w:top w:val="single" w:sz="4" w:space="0" w:color="auto"/>
              <w:left w:val="single" w:sz="6" w:space="0" w:color="000000"/>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720" w:type="dxa"/>
            <w:tcBorders>
              <w:top w:val="single" w:sz="4" w:space="0" w:color="auto"/>
              <w:left w:val="single" w:sz="6" w:space="0" w:color="000000"/>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660" w:type="dxa"/>
            <w:tcBorders>
              <w:top w:val="single" w:sz="4" w:space="0" w:color="auto"/>
              <w:left w:val="single" w:sz="6" w:space="0" w:color="000000"/>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500"/>
          <w:jc w:val="center"/>
        </w:trPr>
        <w:tc>
          <w:tcPr>
            <w:tcW w:w="870" w:type="dxa"/>
            <w:gridSpan w:val="2"/>
            <w:vMerge/>
            <w:tcBorders>
              <w:left w:val="single" w:sz="6" w:space="0" w:color="000000"/>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2040353</w:t>
            </w:r>
          </w:p>
        </w:tc>
        <w:tc>
          <w:tcPr>
            <w:tcW w:w="4088" w:type="dxa"/>
            <w:tcBorders>
              <w:top w:val="single" w:sz="4" w:space="0" w:color="auto"/>
              <w:left w:val="single" w:sz="6" w:space="0" w:color="000000"/>
              <w:bottom w:val="single" w:sz="4" w:space="0" w:color="auto"/>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szCs w:val="21"/>
              </w:rPr>
              <w:t>金融法</w:t>
            </w:r>
          </w:p>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Financial Laws</w:t>
            </w:r>
          </w:p>
        </w:tc>
        <w:tc>
          <w:tcPr>
            <w:tcW w:w="719" w:type="dxa"/>
            <w:tcBorders>
              <w:top w:val="single" w:sz="4" w:space="0" w:color="auto"/>
              <w:left w:val="single" w:sz="6" w:space="0" w:color="000000"/>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1</w:t>
            </w:r>
          </w:p>
        </w:tc>
        <w:tc>
          <w:tcPr>
            <w:tcW w:w="720" w:type="dxa"/>
            <w:tcBorders>
              <w:top w:val="single" w:sz="4" w:space="0" w:color="auto"/>
              <w:left w:val="single" w:sz="6" w:space="0" w:color="000000"/>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18</w:t>
            </w:r>
          </w:p>
        </w:tc>
        <w:tc>
          <w:tcPr>
            <w:tcW w:w="660" w:type="dxa"/>
            <w:tcBorders>
              <w:top w:val="single" w:sz="4" w:space="0" w:color="auto"/>
              <w:left w:val="single" w:sz="6" w:space="0" w:color="000000"/>
              <w:bottom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712"/>
          <w:jc w:val="center"/>
        </w:trPr>
        <w:tc>
          <w:tcPr>
            <w:tcW w:w="870" w:type="dxa"/>
            <w:gridSpan w:val="2"/>
            <w:vMerge/>
            <w:tcBorders>
              <w:left w:val="single" w:sz="6" w:space="0" w:color="000000"/>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bottom w:val="single" w:sz="4" w:space="0" w:color="auto"/>
            </w:tcBorders>
            <w:shd w:val="clear" w:color="auto" w:fill="FFFFFF" w:themeFill="background1"/>
            <w:vAlign w:val="center"/>
          </w:tcPr>
          <w:p w:rsidR="00DE1BDB" w:rsidRPr="00E8509B" w:rsidRDefault="00DE1BDB" w:rsidP="005D4DE1">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2040359</w:t>
            </w:r>
          </w:p>
        </w:tc>
        <w:tc>
          <w:tcPr>
            <w:tcW w:w="4088" w:type="dxa"/>
            <w:tcBorders>
              <w:top w:val="single" w:sz="4" w:space="0" w:color="auto"/>
              <w:left w:val="single" w:sz="6" w:space="0" w:color="000000"/>
              <w:bottom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szCs w:val="21"/>
              </w:rPr>
              <w:t>金融史</w:t>
            </w:r>
          </w:p>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History of Finance</w:t>
            </w:r>
          </w:p>
        </w:tc>
        <w:tc>
          <w:tcPr>
            <w:tcW w:w="719" w:type="dxa"/>
            <w:tcBorders>
              <w:top w:val="single" w:sz="4" w:space="0" w:color="auto"/>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1</w:t>
            </w:r>
          </w:p>
        </w:tc>
        <w:tc>
          <w:tcPr>
            <w:tcW w:w="720" w:type="dxa"/>
            <w:tcBorders>
              <w:top w:val="single" w:sz="4" w:space="0" w:color="auto"/>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18</w:t>
            </w:r>
          </w:p>
        </w:tc>
        <w:tc>
          <w:tcPr>
            <w:tcW w:w="660" w:type="dxa"/>
            <w:tcBorders>
              <w:top w:val="single" w:sz="4" w:space="0" w:color="auto"/>
              <w:left w:val="single" w:sz="6" w:space="0" w:color="000000"/>
              <w:bottom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704"/>
          <w:jc w:val="center"/>
        </w:trPr>
        <w:tc>
          <w:tcPr>
            <w:tcW w:w="870" w:type="dxa"/>
            <w:gridSpan w:val="2"/>
            <w:vMerge/>
            <w:tcBorders>
              <w:left w:val="single" w:sz="6" w:space="0" w:color="000000"/>
              <w:righ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287" w:type="dxa"/>
            <w:gridSpan w:val="2"/>
            <w:tcBorders>
              <w:top w:val="single" w:sz="4" w:space="0" w:color="auto"/>
              <w:left w:val="single" w:sz="4" w:space="0" w:color="auto"/>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2040350</w:t>
            </w:r>
          </w:p>
        </w:tc>
        <w:tc>
          <w:tcPr>
            <w:tcW w:w="4088" w:type="dxa"/>
            <w:tcBorders>
              <w:top w:val="single" w:sz="6" w:space="0" w:color="000000"/>
              <w:left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研究方法论</w:t>
            </w:r>
          </w:p>
          <w:p w:rsidR="00DE1BDB" w:rsidRPr="00E8509B" w:rsidRDefault="00DE1BDB" w:rsidP="00EF570D">
            <w:pPr>
              <w:rPr>
                <w:rFonts w:asciiTheme="majorEastAsia" w:eastAsiaTheme="majorEastAsia" w:hAnsiTheme="majorEastAsia"/>
                <w:szCs w:val="21"/>
              </w:rPr>
            </w:pPr>
            <w:r w:rsidRPr="00E8509B">
              <w:rPr>
                <w:rFonts w:asciiTheme="majorEastAsia" w:eastAsiaTheme="majorEastAsia" w:hAnsiTheme="majorEastAsia" w:hint="eastAsia"/>
                <w:szCs w:val="21"/>
              </w:rPr>
              <w:t xml:space="preserve">Research Methodology </w:t>
            </w:r>
          </w:p>
        </w:tc>
        <w:tc>
          <w:tcPr>
            <w:tcW w:w="719" w:type="dxa"/>
            <w:tcBorders>
              <w:top w:val="single" w:sz="6" w:space="0" w:color="000000"/>
              <w:left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1</w:t>
            </w:r>
          </w:p>
        </w:tc>
        <w:tc>
          <w:tcPr>
            <w:tcW w:w="720" w:type="dxa"/>
            <w:tcBorders>
              <w:top w:val="single" w:sz="6" w:space="0" w:color="000000"/>
              <w:left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18</w:t>
            </w:r>
          </w:p>
        </w:tc>
        <w:tc>
          <w:tcPr>
            <w:tcW w:w="660" w:type="dxa"/>
            <w:tcBorders>
              <w:top w:val="single" w:sz="6" w:space="0" w:color="000000"/>
              <w:left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210"/>
          <w:jc w:val="center"/>
        </w:trPr>
        <w:tc>
          <w:tcPr>
            <w:tcW w:w="587" w:type="dxa"/>
            <w:vMerge w:val="restart"/>
            <w:tcBorders>
              <w:top w:val="single" w:sz="6" w:space="0" w:color="000000"/>
              <w:left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必</w:t>
            </w:r>
          </w:p>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修</w:t>
            </w:r>
          </w:p>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环</w:t>
            </w:r>
          </w:p>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节</w:t>
            </w:r>
          </w:p>
        </w:tc>
        <w:tc>
          <w:tcPr>
            <w:tcW w:w="1570" w:type="dxa"/>
            <w:gridSpan w:val="3"/>
            <w:vMerge w:val="restart"/>
            <w:tcBorders>
              <w:top w:val="single" w:sz="6" w:space="0" w:color="000000"/>
              <w:left w:val="single" w:sz="6" w:space="0" w:color="000000"/>
            </w:tcBorders>
            <w:shd w:val="clear" w:color="auto" w:fill="FFFFFF" w:themeFill="background1"/>
            <w:vAlign w:val="center"/>
          </w:tcPr>
          <w:p w:rsidR="00DE1BDB" w:rsidRPr="00E8509B" w:rsidRDefault="00DE1BDB" w:rsidP="00EF570D">
            <w:pPr>
              <w:jc w:val="left"/>
              <w:rPr>
                <w:rFonts w:asciiTheme="majorEastAsia" w:eastAsiaTheme="majorEastAsia" w:hAnsiTheme="majorEastAsia"/>
                <w:szCs w:val="21"/>
              </w:rPr>
            </w:pPr>
            <w:r w:rsidRPr="00E8509B">
              <w:rPr>
                <w:rFonts w:asciiTheme="majorEastAsia" w:eastAsiaTheme="majorEastAsia" w:hAnsiTheme="majorEastAsia" w:hint="eastAsia"/>
                <w:color w:val="FF0000"/>
                <w:szCs w:val="21"/>
              </w:rPr>
              <w:t>全日制</w:t>
            </w:r>
            <w:r w:rsidRPr="00E8509B">
              <w:rPr>
                <w:rFonts w:asciiTheme="majorEastAsia" w:eastAsiaTheme="majorEastAsia" w:hAnsiTheme="majorEastAsia"/>
                <w:szCs w:val="21"/>
              </w:rPr>
              <w:t>专业实践</w:t>
            </w:r>
          </w:p>
          <w:p w:rsidR="00DE1BDB" w:rsidRPr="00E8509B" w:rsidRDefault="00DE1BDB" w:rsidP="00C168F0">
            <w:pPr>
              <w:jc w:val="left"/>
              <w:rPr>
                <w:rFonts w:asciiTheme="majorEastAsia" w:eastAsiaTheme="majorEastAsia" w:hAnsiTheme="majorEastAsia"/>
                <w:szCs w:val="21"/>
              </w:rPr>
            </w:pPr>
            <w:r w:rsidRPr="00E8509B">
              <w:rPr>
                <w:rFonts w:asciiTheme="majorEastAsia" w:eastAsiaTheme="majorEastAsia" w:hAnsiTheme="majorEastAsia" w:hint="eastAsia"/>
                <w:szCs w:val="21"/>
              </w:rPr>
              <w:t>Professional Practice</w:t>
            </w:r>
          </w:p>
          <w:p w:rsidR="00E8509B" w:rsidRPr="00E8509B" w:rsidRDefault="00E8509B" w:rsidP="00E8509B">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290007</w:t>
            </w:r>
          </w:p>
        </w:tc>
        <w:tc>
          <w:tcPr>
            <w:tcW w:w="4088" w:type="dxa"/>
            <w:tcBorders>
              <w:top w:val="single" w:sz="6" w:space="0" w:color="000000"/>
              <w:left w:val="single" w:sz="6" w:space="0" w:color="000000"/>
            </w:tcBorders>
            <w:shd w:val="clear" w:color="auto" w:fill="FFFFFF" w:themeFill="background1"/>
            <w:vAlign w:val="center"/>
          </w:tcPr>
          <w:p w:rsidR="00DE1BDB" w:rsidRPr="007B5213" w:rsidRDefault="00DE1BDB" w:rsidP="00EF570D">
            <w:pPr>
              <w:rPr>
                <w:rFonts w:asciiTheme="majorEastAsia" w:eastAsiaTheme="majorEastAsia" w:hAnsiTheme="majorEastAsia"/>
                <w:sz w:val="18"/>
                <w:szCs w:val="18"/>
              </w:rPr>
            </w:pPr>
            <w:r w:rsidRPr="007B5213">
              <w:rPr>
                <w:rFonts w:asciiTheme="majorEastAsia" w:eastAsiaTheme="majorEastAsia" w:hAnsiTheme="majorEastAsia" w:hint="eastAsia"/>
                <w:sz w:val="18"/>
                <w:szCs w:val="18"/>
              </w:rPr>
              <w:t>CFA道德规范与标准视频学习/金融赛事参与</w:t>
            </w:r>
          </w:p>
          <w:p w:rsidR="00DE1BDB" w:rsidRPr="007B5213" w:rsidRDefault="00DE1BDB" w:rsidP="00EF570D">
            <w:pPr>
              <w:rPr>
                <w:rFonts w:asciiTheme="majorEastAsia" w:eastAsiaTheme="majorEastAsia" w:hAnsiTheme="majorEastAsia"/>
                <w:sz w:val="18"/>
                <w:szCs w:val="18"/>
              </w:rPr>
            </w:pPr>
            <w:r w:rsidRPr="007B5213">
              <w:rPr>
                <w:rFonts w:asciiTheme="majorEastAsia" w:eastAsiaTheme="majorEastAsia" w:hAnsiTheme="majorEastAsia"/>
                <w:sz w:val="18"/>
                <w:szCs w:val="18"/>
              </w:rPr>
              <w:t>Video: CFA Code of Ethics and Standards / Participation in Finance Competitions</w:t>
            </w:r>
          </w:p>
        </w:tc>
        <w:tc>
          <w:tcPr>
            <w:tcW w:w="719" w:type="dxa"/>
            <w:tcBorders>
              <w:top w:val="single" w:sz="6" w:space="0" w:color="000000"/>
              <w:left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1</w:t>
            </w:r>
          </w:p>
        </w:tc>
        <w:tc>
          <w:tcPr>
            <w:tcW w:w="720" w:type="dxa"/>
            <w:tcBorders>
              <w:top w:val="single" w:sz="6" w:space="0" w:color="000000"/>
              <w:left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p>
        </w:tc>
        <w:tc>
          <w:tcPr>
            <w:tcW w:w="660" w:type="dxa"/>
            <w:tcBorders>
              <w:top w:val="single" w:sz="6" w:space="0" w:color="000000"/>
              <w:left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210"/>
          <w:jc w:val="center"/>
        </w:trPr>
        <w:tc>
          <w:tcPr>
            <w:tcW w:w="587" w:type="dxa"/>
            <w:vMerge/>
            <w:tcBorders>
              <w:left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570" w:type="dxa"/>
            <w:gridSpan w:val="3"/>
            <w:vMerge/>
            <w:tcBorders>
              <w:left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4088" w:type="dxa"/>
            <w:tcBorders>
              <w:left w:val="single" w:sz="6" w:space="0" w:color="000000"/>
            </w:tcBorders>
            <w:shd w:val="clear" w:color="auto" w:fill="FFFFFF" w:themeFill="background1"/>
            <w:vAlign w:val="center"/>
          </w:tcPr>
          <w:p w:rsidR="00DE1BDB" w:rsidRPr="007B5213" w:rsidRDefault="00DE1BDB" w:rsidP="00EF570D">
            <w:pPr>
              <w:rPr>
                <w:rFonts w:asciiTheme="majorEastAsia" w:eastAsiaTheme="majorEastAsia" w:hAnsiTheme="majorEastAsia"/>
                <w:sz w:val="18"/>
                <w:szCs w:val="18"/>
              </w:rPr>
            </w:pPr>
            <w:r w:rsidRPr="007B5213">
              <w:rPr>
                <w:rFonts w:asciiTheme="majorEastAsia" w:eastAsiaTheme="majorEastAsia" w:hAnsiTheme="majorEastAsia" w:hint="eastAsia"/>
                <w:sz w:val="18"/>
                <w:szCs w:val="18"/>
              </w:rPr>
              <w:t>实务系列讲座</w:t>
            </w:r>
          </w:p>
          <w:p w:rsidR="00DE1BDB" w:rsidRPr="007B5213" w:rsidRDefault="00DE1BDB" w:rsidP="00EF570D">
            <w:pPr>
              <w:rPr>
                <w:rFonts w:asciiTheme="majorEastAsia" w:eastAsiaTheme="majorEastAsia" w:hAnsiTheme="majorEastAsia"/>
                <w:sz w:val="18"/>
                <w:szCs w:val="18"/>
              </w:rPr>
            </w:pPr>
            <w:r w:rsidRPr="007B5213">
              <w:rPr>
                <w:rFonts w:asciiTheme="majorEastAsia" w:eastAsiaTheme="majorEastAsia" w:hAnsiTheme="majorEastAsia" w:hint="eastAsia"/>
                <w:sz w:val="18"/>
                <w:szCs w:val="18"/>
              </w:rPr>
              <w:t>Professional Lecture Series Practices</w:t>
            </w:r>
          </w:p>
        </w:tc>
        <w:tc>
          <w:tcPr>
            <w:tcW w:w="719" w:type="dxa"/>
            <w:tcBorders>
              <w:left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1</w:t>
            </w:r>
          </w:p>
        </w:tc>
        <w:tc>
          <w:tcPr>
            <w:tcW w:w="720" w:type="dxa"/>
            <w:tcBorders>
              <w:left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p>
        </w:tc>
        <w:tc>
          <w:tcPr>
            <w:tcW w:w="660" w:type="dxa"/>
            <w:tcBorders>
              <w:left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DE1BDB" w:rsidRPr="00E65416" w:rsidTr="00E8509B">
        <w:trPr>
          <w:trHeight w:val="210"/>
          <w:jc w:val="center"/>
        </w:trPr>
        <w:tc>
          <w:tcPr>
            <w:tcW w:w="587" w:type="dxa"/>
            <w:vMerge/>
            <w:tcBorders>
              <w:left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1570" w:type="dxa"/>
            <w:gridSpan w:val="3"/>
            <w:vMerge/>
            <w:tcBorders>
              <w:left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c>
          <w:tcPr>
            <w:tcW w:w="4088" w:type="dxa"/>
            <w:tcBorders>
              <w:left w:val="single" w:sz="6" w:space="0" w:color="000000"/>
            </w:tcBorders>
            <w:shd w:val="clear" w:color="auto" w:fill="FFFFFF" w:themeFill="background1"/>
            <w:vAlign w:val="center"/>
          </w:tcPr>
          <w:p w:rsidR="00DE1BDB" w:rsidRPr="007B5213" w:rsidRDefault="00DE1BDB" w:rsidP="00EF570D">
            <w:pPr>
              <w:rPr>
                <w:rFonts w:asciiTheme="majorEastAsia" w:eastAsiaTheme="majorEastAsia" w:hAnsiTheme="majorEastAsia"/>
                <w:sz w:val="18"/>
                <w:szCs w:val="18"/>
              </w:rPr>
            </w:pPr>
            <w:r w:rsidRPr="007B5213">
              <w:rPr>
                <w:rFonts w:asciiTheme="majorEastAsia" w:eastAsiaTheme="majorEastAsia" w:hAnsiTheme="majorEastAsia" w:hint="eastAsia"/>
                <w:sz w:val="18"/>
                <w:szCs w:val="18"/>
              </w:rPr>
              <w:t>专业实习</w:t>
            </w:r>
          </w:p>
          <w:p w:rsidR="00DE1BDB" w:rsidRPr="007B5213" w:rsidRDefault="00DE1BDB" w:rsidP="00EF570D">
            <w:pPr>
              <w:rPr>
                <w:rFonts w:asciiTheme="majorEastAsia" w:eastAsiaTheme="majorEastAsia" w:hAnsiTheme="majorEastAsia"/>
                <w:sz w:val="18"/>
                <w:szCs w:val="18"/>
              </w:rPr>
            </w:pPr>
            <w:r w:rsidRPr="007B5213">
              <w:rPr>
                <w:rFonts w:asciiTheme="majorEastAsia" w:eastAsiaTheme="majorEastAsia" w:hAnsiTheme="majorEastAsia" w:hint="eastAsia"/>
                <w:sz w:val="18"/>
                <w:szCs w:val="18"/>
              </w:rPr>
              <w:t>Internship and Practice</w:t>
            </w:r>
          </w:p>
        </w:tc>
        <w:tc>
          <w:tcPr>
            <w:tcW w:w="719" w:type="dxa"/>
            <w:tcBorders>
              <w:left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4</w:t>
            </w:r>
          </w:p>
        </w:tc>
        <w:tc>
          <w:tcPr>
            <w:tcW w:w="720" w:type="dxa"/>
            <w:tcBorders>
              <w:left w:val="single" w:sz="6" w:space="0" w:color="000000"/>
            </w:tcBorders>
            <w:shd w:val="clear" w:color="auto" w:fill="FFFFFF" w:themeFill="background1"/>
            <w:vAlign w:val="center"/>
          </w:tcPr>
          <w:p w:rsidR="00DE1BDB" w:rsidRPr="00E8509B" w:rsidRDefault="00DE1BDB" w:rsidP="00EF570D">
            <w:pPr>
              <w:rPr>
                <w:rFonts w:asciiTheme="majorEastAsia" w:eastAsiaTheme="majorEastAsia" w:hAnsiTheme="majorEastAsia"/>
                <w:szCs w:val="21"/>
              </w:rPr>
            </w:pPr>
          </w:p>
        </w:tc>
        <w:tc>
          <w:tcPr>
            <w:tcW w:w="660" w:type="dxa"/>
            <w:tcBorders>
              <w:left w:val="single" w:sz="6" w:space="0" w:color="000000"/>
            </w:tcBorders>
            <w:shd w:val="clear" w:color="auto" w:fill="FFFFFF" w:themeFill="background1"/>
            <w:vAlign w:val="center"/>
          </w:tcPr>
          <w:p w:rsidR="00DE1BDB" w:rsidRPr="00E8509B" w:rsidRDefault="00DE1BDB" w:rsidP="00EF570D">
            <w:pPr>
              <w:jc w:val="center"/>
              <w:rPr>
                <w:rFonts w:asciiTheme="majorEastAsia" w:eastAsiaTheme="majorEastAsia" w:hAnsiTheme="majorEastAsia"/>
                <w:szCs w:val="21"/>
              </w:rPr>
            </w:pPr>
          </w:p>
        </w:tc>
      </w:tr>
      <w:tr w:rsidR="00C168F0" w:rsidRPr="00E65416" w:rsidTr="00C168F0">
        <w:trPr>
          <w:trHeight w:val="581"/>
          <w:jc w:val="center"/>
        </w:trPr>
        <w:tc>
          <w:tcPr>
            <w:tcW w:w="587" w:type="dxa"/>
            <w:vMerge/>
            <w:tcBorders>
              <w:left w:val="single" w:sz="6" w:space="0" w:color="000000"/>
            </w:tcBorders>
            <w:shd w:val="clear" w:color="auto" w:fill="FFFFFF" w:themeFill="background1"/>
            <w:textDirection w:val="tbRlV"/>
            <w:vAlign w:val="center"/>
          </w:tcPr>
          <w:p w:rsidR="00C168F0" w:rsidRPr="00E8509B" w:rsidRDefault="00C168F0" w:rsidP="00EF570D">
            <w:pPr>
              <w:jc w:val="center"/>
              <w:rPr>
                <w:rFonts w:asciiTheme="majorEastAsia" w:eastAsiaTheme="majorEastAsia" w:hAnsiTheme="majorEastAsia"/>
                <w:szCs w:val="21"/>
              </w:rPr>
            </w:pPr>
          </w:p>
        </w:tc>
        <w:tc>
          <w:tcPr>
            <w:tcW w:w="1559" w:type="dxa"/>
            <w:gridSpan w:val="2"/>
            <w:tcBorders>
              <w:left w:val="single" w:sz="6" w:space="0" w:color="000000"/>
              <w:right w:val="single" w:sz="4" w:space="0" w:color="auto"/>
            </w:tcBorders>
            <w:shd w:val="clear" w:color="auto" w:fill="FFFFFF" w:themeFill="background1"/>
            <w:vAlign w:val="center"/>
          </w:tcPr>
          <w:p w:rsidR="00C168F0" w:rsidRPr="00E8509B" w:rsidRDefault="00C168F0" w:rsidP="00E8509B">
            <w:pPr>
              <w:ind w:firstLineChars="1100" w:firstLine="2310"/>
              <w:jc w:val="center"/>
              <w:rPr>
                <w:rFonts w:asciiTheme="majorEastAsia" w:eastAsiaTheme="majorEastAsia" w:hAnsiTheme="majorEastAsia"/>
                <w:color w:val="FF0000"/>
                <w:szCs w:val="21"/>
              </w:rPr>
            </w:pPr>
          </w:p>
          <w:p w:rsidR="00C168F0" w:rsidRPr="00E8509B" w:rsidRDefault="00E8509B" w:rsidP="00E8509B">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2900012</w:t>
            </w:r>
          </w:p>
        </w:tc>
        <w:tc>
          <w:tcPr>
            <w:tcW w:w="4099" w:type="dxa"/>
            <w:gridSpan w:val="2"/>
            <w:tcBorders>
              <w:left w:val="single" w:sz="4" w:space="0" w:color="auto"/>
            </w:tcBorders>
            <w:shd w:val="clear" w:color="auto" w:fill="FFFFFF" w:themeFill="background1"/>
            <w:vAlign w:val="center"/>
          </w:tcPr>
          <w:p w:rsidR="00C168F0" w:rsidRPr="00E8509B" w:rsidRDefault="00C168F0" w:rsidP="00E8509B">
            <w:pPr>
              <w:rPr>
                <w:rFonts w:asciiTheme="majorEastAsia" w:eastAsiaTheme="majorEastAsia" w:hAnsiTheme="majorEastAsia"/>
                <w:szCs w:val="21"/>
              </w:rPr>
            </w:pPr>
            <w:r w:rsidRPr="00E8509B">
              <w:rPr>
                <w:rFonts w:asciiTheme="majorEastAsia" w:eastAsiaTheme="majorEastAsia" w:hAnsiTheme="majorEastAsia" w:hint="eastAsia"/>
                <w:color w:val="FF0000"/>
                <w:szCs w:val="21"/>
              </w:rPr>
              <w:t>同济</w:t>
            </w:r>
            <w:r w:rsidRPr="00E8509B">
              <w:rPr>
                <w:rFonts w:asciiTheme="majorEastAsia" w:eastAsiaTheme="majorEastAsia" w:hAnsiTheme="majorEastAsia" w:hint="eastAsia"/>
                <w:szCs w:val="21"/>
              </w:rPr>
              <w:t>高等讲堂</w:t>
            </w:r>
          </w:p>
          <w:p w:rsidR="00C168F0" w:rsidRPr="00E8509B" w:rsidRDefault="00C168F0" w:rsidP="00E8509B">
            <w:pPr>
              <w:rPr>
                <w:rFonts w:asciiTheme="majorEastAsia" w:eastAsiaTheme="majorEastAsia" w:hAnsiTheme="majorEastAsia"/>
                <w:szCs w:val="21"/>
              </w:rPr>
            </w:pPr>
            <w:r w:rsidRPr="00E8509B">
              <w:rPr>
                <w:rFonts w:asciiTheme="majorEastAsia" w:eastAsiaTheme="majorEastAsia" w:hAnsiTheme="majorEastAsia" w:hint="eastAsia"/>
                <w:szCs w:val="21"/>
              </w:rPr>
              <w:t>Advanced Lectures</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C168F0" w:rsidRPr="00E8509B" w:rsidRDefault="00C168F0" w:rsidP="00EF570D">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C168F0" w:rsidRPr="00E8509B" w:rsidRDefault="00C168F0" w:rsidP="00EF570D">
            <w:pPr>
              <w:rPr>
                <w:rFonts w:asciiTheme="majorEastAsia" w:eastAsiaTheme="majorEastAsia" w:hAnsiTheme="majorEastAsia"/>
                <w:szCs w:val="21"/>
              </w:rPr>
            </w:pP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C168F0" w:rsidRPr="00E8509B" w:rsidRDefault="00C168F0" w:rsidP="00EF570D">
            <w:pPr>
              <w:jc w:val="center"/>
              <w:rPr>
                <w:rFonts w:asciiTheme="majorEastAsia" w:eastAsiaTheme="majorEastAsia" w:hAnsiTheme="majorEastAsia"/>
                <w:szCs w:val="21"/>
              </w:rPr>
            </w:pPr>
          </w:p>
        </w:tc>
      </w:tr>
      <w:tr w:rsidR="00C168F0" w:rsidRPr="00E65416" w:rsidTr="00C168F0">
        <w:trPr>
          <w:trHeight w:val="500"/>
          <w:jc w:val="center"/>
        </w:trPr>
        <w:tc>
          <w:tcPr>
            <w:tcW w:w="587" w:type="dxa"/>
            <w:vMerge/>
            <w:tcBorders>
              <w:left w:val="single" w:sz="6" w:space="0" w:color="000000"/>
            </w:tcBorders>
            <w:shd w:val="clear" w:color="auto" w:fill="FFFFFF" w:themeFill="background1"/>
            <w:vAlign w:val="center"/>
          </w:tcPr>
          <w:p w:rsidR="00C168F0" w:rsidRPr="00E8509B" w:rsidRDefault="00C168F0" w:rsidP="00EF570D">
            <w:pPr>
              <w:jc w:val="center"/>
              <w:rPr>
                <w:rFonts w:asciiTheme="majorEastAsia" w:eastAsiaTheme="majorEastAsia" w:hAnsiTheme="majorEastAsia"/>
                <w:szCs w:val="21"/>
              </w:rPr>
            </w:pPr>
          </w:p>
        </w:tc>
        <w:tc>
          <w:tcPr>
            <w:tcW w:w="1559" w:type="dxa"/>
            <w:gridSpan w:val="2"/>
            <w:tcBorders>
              <w:left w:val="single" w:sz="6" w:space="0" w:color="000000"/>
              <w:right w:val="single" w:sz="4" w:space="0" w:color="auto"/>
            </w:tcBorders>
            <w:shd w:val="clear" w:color="auto" w:fill="FFFFFF" w:themeFill="background1"/>
            <w:vAlign w:val="center"/>
          </w:tcPr>
          <w:p w:rsidR="00C168F0" w:rsidRPr="00E8509B" w:rsidRDefault="00C168F0" w:rsidP="00E8509B">
            <w:pPr>
              <w:ind w:firstLineChars="1100" w:firstLine="2310"/>
              <w:jc w:val="center"/>
              <w:rPr>
                <w:rFonts w:asciiTheme="majorEastAsia" w:eastAsiaTheme="majorEastAsia" w:hAnsiTheme="majorEastAsia"/>
                <w:szCs w:val="21"/>
              </w:rPr>
            </w:pPr>
          </w:p>
          <w:p w:rsidR="00C168F0" w:rsidRPr="00E8509B" w:rsidRDefault="00E8509B" w:rsidP="00E8509B">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2900011</w:t>
            </w:r>
          </w:p>
        </w:tc>
        <w:tc>
          <w:tcPr>
            <w:tcW w:w="4099" w:type="dxa"/>
            <w:gridSpan w:val="2"/>
            <w:tcBorders>
              <w:left w:val="single" w:sz="4" w:space="0" w:color="auto"/>
            </w:tcBorders>
            <w:shd w:val="clear" w:color="auto" w:fill="FFFFFF" w:themeFill="background1"/>
            <w:vAlign w:val="center"/>
          </w:tcPr>
          <w:p w:rsidR="00C168F0" w:rsidRPr="00E8509B" w:rsidRDefault="00C168F0" w:rsidP="00E8509B">
            <w:pPr>
              <w:rPr>
                <w:rFonts w:asciiTheme="majorEastAsia" w:eastAsiaTheme="majorEastAsia" w:hAnsiTheme="majorEastAsia"/>
                <w:szCs w:val="21"/>
              </w:rPr>
            </w:pPr>
            <w:r w:rsidRPr="00E8509B">
              <w:rPr>
                <w:rFonts w:asciiTheme="majorEastAsia" w:eastAsiaTheme="majorEastAsia" w:hAnsiTheme="majorEastAsia" w:hint="eastAsia"/>
                <w:szCs w:val="21"/>
              </w:rPr>
              <w:t>研究生学术行为规范</w:t>
            </w:r>
          </w:p>
          <w:p w:rsidR="00C168F0" w:rsidRPr="00E8509B" w:rsidRDefault="00C168F0" w:rsidP="00E8509B">
            <w:pPr>
              <w:rPr>
                <w:rFonts w:asciiTheme="majorEastAsia" w:eastAsiaTheme="majorEastAsia" w:hAnsiTheme="majorEastAsia"/>
                <w:szCs w:val="21"/>
              </w:rPr>
            </w:pPr>
            <w:r w:rsidRPr="00E8509B">
              <w:rPr>
                <w:rFonts w:asciiTheme="majorEastAsia" w:eastAsiaTheme="majorEastAsia" w:hAnsiTheme="majorEastAsia" w:hint="eastAsia"/>
                <w:szCs w:val="21"/>
              </w:rPr>
              <w:t>Academic Ethics and Norms</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C168F0" w:rsidRPr="00E8509B" w:rsidRDefault="00C168F0"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1</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C168F0" w:rsidRPr="00E8509B" w:rsidRDefault="00C168F0" w:rsidP="00EF570D">
            <w:pPr>
              <w:rPr>
                <w:rFonts w:asciiTheme="majorEastAsia" w:eastAsiaTheme="majorEastAsia" w:hAnsiTheme="majorEastAsia"/>
                <w:szCs w:val="21"/>
              </w:rPr>
            </w:pP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C168F0" w:rsidRPr="00E8509B" w:rsidRDefault="00C168F0" w:rsidP="00EF570D">
            <w:pPr>
              <w:jc w:val="center"/>
              <w:rPr>
                <w:rFonts w:asciiTheme="majorEastAsia" w:eastAsiaTheme="majorEastAsia" w:hAnsiTheme="majorEastAsia"/>
                <w:szCs w:val="21"/>
              </w:rPr>
            </w:pPr>
          </w:p>
        </w:tc>
      </w:tr>
      <w:tr w:rsidR="00C168F0" w:rsidRPr="00E65416" w:rsidTr="00C168F0">
        <w:trPr>
          <w:trHeight w:val="500"/>
          <w:jc w:val="center"/>
        </w:trPr>
        <w:tc>
          <w:tcPr>
            <w:tcW w:w="587" w:type="dxa"/>
            <w:vMerge/>
            <w:tcBorders>
              <w:left w:val="single" w:sz="6" w:space="0" w:color="000000"/>
              <w:bottom w:val="single" w:sz="6" w:space="0" w:color="000000"/>
            </w:tcBorders>
            <w:shd w:val="clear" w:color="auto" w:fill="FFFFFF" w:themeFill="background1"/>
            <w:vAlign w:val="center"/>
          </w:tcPr>
          <w:p w:rsidR="00C168F0" w:rsidRPr="00E8509B" w:rsidRDefault="00C168F0" w:rsidP="00EF570D">
            <w:pPr>
              <w:jc w:val="center"/>
              <w:rPr>
                <w:rFonts w:asciiTheme="majorEastAsia" w:eastAsiaTheme="majorEastAsia" w:hAnsiTheme="majorEastAsia"/>
                <w:szCs w:val="21"/>
              </w:rPr>
            </w:pPr>
          </w:p>
        </w:tc>
        <w:tc>
          <w:tcPr>
            <w:tcW w:w="1559" w:type="dxa"/>
            <w:gridSpan w:val="2"/>
            <w:tcBorders>
              <w:left w:val="single" w:sz="6" w:space="0" w:color="000000"/>
              <w:bottom w:val="single" w:sz="6" w:space="0" w:color="000000"/>
              <w:right w:val="single" w:sz="4" w:space="0" w:color="auto"/>
            </w:tcBorders>
            <w:shd w:val="clear" w:color="auto" w:fill="FFFFFF" w:themeFill="background1"/>
            <w:vAlign w:val="center"/>
          </w:tcPr>
          <w:p w:rsidR="00C168F0" w:rsidRPr="00E8509B" w:rsidRDefault="00C168F0" w:rsidP="00E8509B">
            <w:pPr>
              <w:ind w:firstLineChars="1100" w:firstLine="2310"/>
              <w:jc w:val="center"/>
              <w:rPr>
                <w:rFonts w:asciiTheme="majorEastAsia" w:eastAsiaTheme="majorEastAsia" w:hAnsiTheme="majorEastAsia"/>
                <w:szCs w:val="21"/>
              </w:rPr>
            </w:pPr>
          </w:p>
          <w:p w:rsidR="00C168F0" w:rsidRPr="00E8509B" w:rsidRDefault="00E8509B" w:rsidP="00E8509B">
            <w:pPr>
              <w:jc w:val="center"/>
              <w:rPr>
                <w:rFonts w:asciiTheme="majorEastAsia" w:eastAsiaTheme="majorEastAsia" w:hAnsiTheme="majorEastAsia"/>
                <w:szCs w:val="21"/>
              </w:rPr>
            </w:pPr>
            <w:r w:rsidRPr="00E8509B">
              <w:rPr>
                <w:rFonts w:asciiTheme="majorEastAsia" w:eastAsiaTheme="majorEastAsia" w:hAnsiTheme="majorEastAsia" w:hint="eastAsia"/>
                <w:szCs w:val="21"/>
              </w:rPr>
              <w:t>2900016</w:t>
            </w:r>
          </w:p>
        </w:tc>
        <w:tc>
          <w:tcPr>
            <w:tcW w:w="4099" w:type="dxa"/>
            <w:gridSpan w:val="2"/>
            <w:tcBorders>
              <w:left w:val="single" w:sz="4" w:space="0" w:color="auto"/>
              <w:bottom w:val="single" w:sz="6" w:space="0" w:color="000000"/>
            </w:tcBorders>
            <w:shd w:val="clear" w:color="auto" w:fill="FFFFFF" w:themeFill="background1"/>
            <w:vAlign w:val="center"/>
          </w:tcPr>
          <w:p w:rsidR="00C168F0" w:rsidRPr="00E8509B" w:rsidRDefault="00C168F0" w:rsidP="00E8509B">
            <w:pPr>
              <w:rPr>
                <w:rFonts w:asciiTheme="majorEastAsia" w:eastAsiaTheme="majorEastAsia" w:hAnsiTheme="majorEastAsia"/>
                <w:szCs w:val="21"/>
              </w:rPr>
            </w:pPr>
            <w:r w:rsidRPr="00E8509B">
              <w:rPr>
                <w:rFonts w:asciiTheme="majorEastAsia" w:eastAsiaTheme="majorEastAsia" w:hAnsiTheme="majorEastAsia" w:hint="eastAsia"/>
                <w:szCs w:val="21"/>
              </w:rPr>
              <w:t>论文选题</w:t>
            </w:r>
          </w:p>
          <w:p w:rsidR="00C168F0" w:rsidRPr="00E8509B" w:rsidRDefault="00C168F0" w:rsidP="00E8509B">
            <w:pPr>
              <w:rPr>
                <w:rFonts w:asciiTheme="majorEastAsia" w:eastAsiaTheme="majorEastAsia" w:hAnsiTheme="majorEastAsia"/>
                <w:szCs w:val="21"/>
              </w:rPr>
            </w:pPr>
            <w:r w:rsidRPr="00E8509B">
              <w:rPr>
                <w:rFonts w:asciiTheme="majorEastAsia" w:eastAsiaTheme="majorEastAsia" w:hAnsiTheme="majorEastAsia" w:hint="eastAsia"/>
                <w:szCs w:val="21"/>
              </w:rPr>
              <w:t>Literature Review &amp; Theme Report</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C168F0" w:rsidRPr="00E8509B" w:rsidRDefault="00C168F0" w:rsidP="00EF570D">
            <w:pPr>
              <w:jc w:val="center"/>
              <w:rPr>
                <w:rFonts w:asciiTheme="majorEastAsia" w:eastAsiaTheme="majorEastAsia" w:hAnsiTheme="majorEastAsia"/>
                <w:szCs w:val="21"/>
              </w:rPr>
            </w:pPr>
            <w:r w:rsidRPr="00E8509B">
              <w:rPr>
                <w:rFonts w:asciiTheme="majorEastAsia" w:eastAsiaTheme="majorEastAsia" w:hAnsiTheme="majorEastAsia"/>
                <w:szCs w:val="21"/>
              </w:rPr>
              <w:t>1</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C168F0" w:rsidRPr="00E8509B" w:rsidRDefault="00C168F0" w:rsidP="00EF570D">
            <w:pPr>
              <w:rPr>
                <w:rFonts w:asciiTheme="majorEastAsia" w:eastAsiaTheme="majorEastAsia" w:hAnsiTheme="majorEastAsia"/>
                <w:szCs w:val="21"/>
              </w:rPr>
            </w:pP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C168F0" w:rsidRPr="00E8509B" w:rsidRDefault="00C168F0" w:rsidP="00EF570D">
            <w:pPr>
              <w:jc w:val="center"/>
              <w:rPr>
                <w:rFonts w:asciiTheme="majorEastAsia" w:eastAsiaTheme="majorEastAsia" w:hAnsiTheme="majorEastAsia"/>
                <w:szCs w:val="21"/>
              </w:rPr>
            </w:pPr>
          </w:p>
        </w:tc>
      </w:tr>
    </w:tbl>
    <w:p w:rsidR="002F7EBB" w:rsidRPr="00E65416" w:rsidRDefault="002F7EBB" w:rsidP="00893D43">
      <w:pPr>
        <w:ind w:right="420"/>
        <w:rPr>
          <w:rFonts w:ascii="宋体" w:hAnsi="宋体"/>
          <w:sz w:val="18"/>
          <w:szCs w:val="18"/>
        </w:rPr>
      </w:pPr>
    </w:p>
    <w:p w:rsidR="00893D43" w:rsidRPr="00E65416" w:rsidRDefault="00893D43" w:rsidP="00893D43">
      <w:pPr>
        <w:ind w:right="420"/>
        <w:rPr>
          <w:rFonts w:ascii="宋体" w:hAnsi="宋体"/>
          <w:sz w:val="18"/>
          <w:szCs w:val="18"/>
        </w:rPr>
      </w:pPr>
      <w:r w:rsidRPr="00E65416">
        <w:rPr>
          <w:rFonts w:ascii="宋体" w:hAnsi="宋体" w:hint="eastAsia"/>
          <w:sz w:val="18"/>
          <w:szCs w:val="18"/>
        </w:rPr>
        <w:t>注：此方案从201</w:t>
      </w:r>
      <w:r w:rsidR="005D0ED5" w:rsidRPr="00E65416">
        <w:rPr>
          <w:rFonts w:ascii="宋体" w:hAnsi="宋体" w:hint="eastAsia"/>
          <w:sz w:val="18"/>
          <w:szCs w:val="18"/>
        </w:rPr>
        <w:t>9</w:t>
      </w:r>
      <w:r w:rsidRPr="00E65416">
        <w:rPr>
          <w:rFonts w:ascii="宋体" w:hAnsi="宋体" w:hint="eastAsia"/>
          <w:sz w:val="18"/>
          <w:szCs w:val="18"/>
        </w:rPr>
        <w:t>年9月起执行。</w:t>
      </w:r>
    </w:p>
    <w:p w:rsidR="00893D43" w:rsidRPr="00E65416" w:rsidRDefault="00893D43" w:rsidP="00893D43">
      <w:pPr>
        <w:spacing w:line="240" w:lineRule="atLeast"/>
        <w:jc w:val="center"/>
        <w:rPr>
          <w:rFonts w:ascii="宋体"/>
        </w:rPr>
      </w:pPr>
    </w:p>
    <w:p w:rsidR="00893D43" w:rsidRPr="00E65416" w:rsidRDefault="00893D43" w:rsidP="00893D43">
      <w:pPr>
        <w:ind w:leftChars="1887" w:left="5643" w:hangingChars="800" w:hanging="1680"/>
        <w:rPr>
          <w:rFonts w:ascii="宋体"/>
        </w:rPr>
      </w:pPr>
    </w:p>
    <w:p w:rsidR="00893D43" w:rsidRPr="00E65416" w:rsidRDefault="00893D43" w:rsidP="00893D43">
      <w:pPr>
        <w:ind w:leftChars="1887" w:left="5643" w:hangingChars="800" w:hanging="1680"/>
        <w:rPr>
          <w:rFonts w:ascii="宋体"/>
          <w:szCs w:val="21"/>
        </w:rPr>
      </w:pPr>
      <w:r w:rsidRPr="00E65416">
        <w:rPr>
          <w:rFonts w:ascii="宋体" w:hAnsi="宋体" w:cs="宋体" w:hint="eastAsia"/>
          <w:szCs w:val="21"/>
        </w:rPr>
        <w:t>学科专业委员会主任签字：</w:t>
      </w:r>
    </w:p>
    <w:p w:rsidR="00893D43" w:rsidRPr="00E65416" w:rsidRDefault="00893D43" w:rsidP="00893D43">
      <w:pPr>
        <w:ind w:leftChars="1887" w:left="5643" w:hangingChars="800" w:hanging="1680"/>
        <w:rPr>
          <w:rFonts w:ascii="宋体"/>
          <w:szCs w:val="21"/>
        </w:rPr>
      </w:pPr>
    </w:p>
    <w:p w:rsidR="00893D43" w:rsidRDefault="00893D43" w:rsidP="00893D43">
      <w:pPr>
        <w:wordWrap w:val="0"/>
        <w:ind w:right="420" w:firstLineChars="3000" w:firstLine="6300"/>
        <w:rPr>
          <w:rFonts w:ascii="宋体" w:hAnsi="宋体" w:cs="宋体"/>
          <w:szCs w:val="21"/>
        </w:rPr>
      </w:pPr>
      <w:r w:rsidRPr="00E65416">
        <w:rPr>
          <w:rFonts w:ascii="宋体" w:hAnsi="宋体" w:cs="宋体"/>
          <w:szCs w:val="21"/>
        </w:rPr>
        <w:t>201</w:t>
      </w:r>
      <w:r w:rsidR="005D0ED5" w:rsidRPr="00E65416">
        <w:rPr>
          <w:rFonts w:ascii="宋体" w:hAnsi="宋体" w:cs="宋体" w:hint="eastAsia"/>
          <w:szCs w:val="21"/>
        </w:rPr>
        <w:t>9</w:t>
      </w:r>
      <w:r w:rsidRPr="00E65416">
        <w:rPr>
          <w:rFonts w:ascii="宋体" w:hAnsi="宋体" w:cs="宋体" w:hint="eastAsia"/>
          <w:szCs w:val="21"/>
        </w:rPr>
        <w:t>年</w:t>
      </w:r>
      <w:r w:rsidR="00DE5CD3" w:rsidRPr="00E65416">
        <w:rPr>
          <w:rFonts w:ascii="宋体" w:hAnsi="宋体" w:cs="宋体" w:hint="eastAsia"/>
          <w:szCs w:val="21"/>
        </w:rPr>
        <w:t>4</w:t>
      </w:r>
      <w:r w:rsidRPr="00E65416">
        <w:rPr>
          <w:rFonts w:ascii="宋体" w:hAnsi="宋体" w:cs="宋体" w:hint="eastAsia"/>
          <w:szCs w:val="21"/>
        </w:rPr>
        <w:t>月</w:t>
      </w:r>
      <w:r w:rsidR="00DE5CD3" w:rsidRPr="00E65416">
        <w:rPr>
          <w:rFonts w:ascii="宋体" w:hAnsi="宋体" w:cs="宋体" w:hint="eastAsia"/>
          <w:szCs w:val="21"/>
        </w:rPr>
        <w:t>24</w:t>
      </w:r>
      <w:r w:rsidRPr="00E65416">
        <w:rPr>
          <w:rFonts w:ascii="宋体" w:hAnsi="宋体" w:cs="宋体" w:hint="eastAsia"/>
          <w:szCs w:val="21"/>
        </w:rPr>
        <w:t>日</w:t>
      </w:r>
    </w:p>
    <w:p w:rsidR="002C73EA" w:rsidRDefault="002C73EA" w:rsidP="00893D43">
      <w:pPr>
        <w:wordWrap w:val="0"/>
        <w:ind w:right="420" w:firstLineChars="3000" w:firstLine="6300"/>
        <w:rPr>
          <w:rFonts w:ascii="宋体" w:hAnsi="宋体" w:cs="宋体"/>
          <w:szCs w:val="21"/>
        </w:rPr>
      </w:pPr>
    </w:p>
    <w:p w:rsidR="002C73EA" w:rsidRDefault="002C73EA" w:rsidP="00893D43">
      <w:pPr>
        <w:wordWrap w:val="0"/>
        <w:ind w:right="420" w:firstLineChars="3000" w:firstLine="6300"/>
        <w:rPr>
          <w:rFonts w:ascii="宋体" w:hAnsi="宋体" w:cs="宋体"/>
          <w:szCs w:val="21"/>
        </w:rPr>
      </w:pPr>
    </w:p>
    <w:p w:rsidR="002C73EA" w:rsidRDefault="002C73EA" w:rsidP="00893D43">
      <w:pPr>
        <w:wordWrap w:val="0"/>
        <w:ind w:right="420" w:firstLineChars="3000" w:firstLine="6300"/>
        <w:rPr>
          <w:rFonts w:ascii="宋体" w:hAnsi="宋体" w:cs="宋体"/>
          <w:szCs w:val="21"/>
        </w:rPr>
      </w:pPr>
    </w:p>
    <w:p w:rsidR="002C73EA" w:rsidRDefault="002C73EA" w:rsidP="00893D43">
      <w:pPr>
        <w:wordWrap w:val="0"/>
        <w:ind w:right="420" w:firstLineChars="3000" w:firstLine="6300"/>
        <w:rPr>
          <w:rFonts w:ascii="宋体" w:hAnsi="宋体" w:cs="宋体"/>
          <w:szCs w:val="21"/>
        </w:rPr>
      </w:pPr>
    </w:p>
    <w:p w:rsidR="002C73EA" w:rsidRDefault="002C73EA" w:rsidP="00893D43">
      <w:pPr>
        <w:wordWrap w:val="0"/>
        <w:ind w:right="420" w:firstLineChars="3000" w:firstLine="6300"/>
        <w:rPr>
          <w:rFonts w:ascii="宋体" w:hAnsi="宋体" w:cs="宋体"/>
          <w:szCs w:val="21"/>
        </w:rPr>
      </w:pPr>
    </w:p>
    <w:p w:rsidR="002C73EA" w:rsidRDefault="002C73EA" w:rsidP="00893D43">
      <w:pPr>
        <w:wordWrap w:val="0"/>
        <w:ind w:right="420" w:firstLineChars="3000" w:firstLine="6300"/>
        <w:rPr>
          <w:rFonts w:ascii="宋体" w:hAnsi="宋体" w:cs="宋体"/>
          <w:szCs w:val="21"/>
        </w:rPr>
      </w:pPr>
    </w:p>
    <w:p w:rsidR="002C73EA" w:rsidRDefault="002C73EA" w:rsidP="00893D43">
      <w:pPr>
        <w:wordWrap w:val="0"/>
        <w:ind w:right="420" w:firstLineChars="3000" w:firstLine="6300"/>
        <w:rPr>
          <w:rFonts w:ascii="宋体" w:hAnsi="宋体" w:cs="宋体"/>
          <w:szCs w:val="21"/>
        </w:rPr>
      </w:pPr>
    </w:p>
    <w:p w:rsidR="002C73EA" w:rsidRDefault="002C73EA" w:rsidP="00893D43">
      <w:pPr>
        <w:wordWrap w:val="0"/>
        <w:ind w:right="420" w:firstLineChars="3000" w:firstLine="6300"/>
        <w:rPr>
          <w:rFonts w:ascii="宋体" w:hAnsi="宋体" w:cs="宋体"/>
          <w:szCs w:val="21"/>
        </w:rPr>
      </w:pPr>
    </w:p>
    <w:p w:rsidR="002C73EA" w:rsidRDefault="002C73EA" w:rsidP="00893D43">
      <w:pPr>
        <w:wordWrap w:val="0"/>
        <w:ind w:right="420" w:firstLineChars="3000" w:firstLine="6300"/>
        <w:rPr>
          <w:rFonts w:ascii="宋体" w:hAnsi="宋体" w:cs="宋体"/>
          <w:szCs w:val="21"/>
        </w:rPr>
      </w:pPr>
    </w:p>
    <w:p w:rsidR="002C73EA" w:rsidRDefault="002C73EA" w:rsidP="00893D43">
      <w:pPr>
        <w:wordWrap w:val="0"/>
        <w:ind w:right="420" w:firstLineChars="3000" w:firstLine="6300"/>
        <w:rPr>
          <w:rFonts w:ascii="宋体" w:hAnsi="宋体" w:cs="宋体"/>
          <w:szCs w:val="21"/>
        </w:rPr>
      </w:pPr>
    </w:p>
    <w:p w:rsidR="002C73EA" w:rsidRDefault="002C73EA" w:rsidP="00893D43">
      <w:pPr>
        <w:wordWrap w:val="0"/>
        <w:ind w:right="420" w:firstLineChars="3000" w:firstLine="6300"/>
        <w:rPr>
          <w:rFonts w:ascii="宋体" w:hAnsi="宋体" w:cs="宋体"/>
          <w:szCs w:val="21"/>
        </w:rPr>
      </w:pPr>
    </w:p>
    <w:p w:rsidR="002C73EA" w:rsidRDefault="002C73EA" w:rsidP="00893D43">
      <w:pPr>
        <w:wordWrap w:val="0"/>
        <w:ind w:right="420" w:firstLineChars="3000" w:firstLine="6300"/>
        <w:rPr>
          <w:rFonts w:ascii="宋体" w:hAnsi="宋体" w:cs="宋体"/>
          <w:szCs w:val="21"/>
        </w:rPr>
      </w:pPr>
    </w:p>
    <w:p w:rsidR="002C73EA" w:rsidRDefault="002C73EA" w:rsidP="00893D43">
      <w:pPr>
        <w:wordWrap w:val="0"/>
        <w:ind w:right="420" w:firstLineChars="3000" w:firstLine="6300"/>
        <w:rPr>
          <w:rFonts w:ascii="宋体" w:hAnsi="宋体" w:cs="宋体"/>
          <w:szCs w:val="21"/>
        </w:rPr>
      </w:pPr>
    </w:p>
    <w:p w:rsidR="002C73EA" w:rsidRPr="002C73EA" w:rsidRDefault="002C73EA" w:rsidP="00893D43">
      <w:pPr>
        <w:wordWrap w:val="0"/>
        <w:ind w:right="420" w:firstLineChars="3000" w:firstLine="6300"/>
        <w:rPr>
          <w:rFonts w:ascii="宋体"/>
          <w:szCs w:val="21"/>
        </w:rPr>
      </w:pPr>
    </w:p>
    <w:p w:rsidR="00BD5D0D" w:rsidRDefault="00BD5D0D">
      <w:pPr>
        <w:rPr>
          <w:szCs w:val="21"/>
        </w:rPr>
      </w:pPr>
    </w:p>
    <w:p w:rsidR="00B21F7B" w:rsidRDefault="00B21F7B">
      <w:pPr>
        <w:rPr>
          <w:szCs w:val="21"/>
        </w:rPr>
      </w:pPr>
      <w:r>
        <w:rPr>
          <w:rFonts w:hint="eastAsia"/>
          <w:szCs w:val="21"/>
        </w:rPr>
        <w:t>注：“必修环节”就用研究生院统一规定，具体考核内容由学院负责（研究生院决定），如“专业实践”的</w:t>
      </w:r>
      <w:r>
        <w:rPr>
          <w:rFonts w:hint="eastAsia"/>
          <w:szCs w:val="21"/>
        </w:rPr>
        <w:t>6</w:t>
      </w:r>
      <w:r>
        <w:rPr>
          <w:rFonts w:hint="eastAsia"/>
          <w:szCs w:val="21"/>
        </w:rPr>
        <w:t>个学分中的</w:t>
      </w:r>
      <w:r>
        <w:rPr>
          <w:rFonts w:hint="eastAsia"/>
          <w:szCs w:val="21"/>
        </w:rPr>
        <w:t>3</w:t>
      </w:r>
      <w:r>
        <w:rPr>
          <w:rFonts w:hint="eastAsia"/>
          <w:szCs w:val="21"/>
        </w:rPr>
        <w:t>部分内容就不加入系统中，考核内容由学院负责。</w:t>
      </w:r>
    </w:p>
    <w:p w:rsidR="00AC4293" w:rsidRPr="00E65416" w:rsidRDefault="00AC4293">
      <w:pPr>
        <w:rPr>
          <w:szCs w:val="21"/>
        </w:rPr>
      </w:pPr>
      <w:r>
        <w:rPr>
          <w:noProof/>
        </w:rPr>
        <w:drawing>
          <wp:inline distT="0" distB="0" distL="0" distR="0" wp14:anchorId="03BD336C" wp14:editId="6A07358B">
            <wp:extent cx="5276848" cy="92392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923481"/>
                    </a:xfrm>
                    <a:prstGeom prst="rect">
                      <a:avLst/>
                    </a:prstGeom>
                  </pic:spPr>
                </pic:pic>
              </a:graphicData>
            </a:graphic>
          </wp:inline>
        </w:drawing>
      </w:r>
    </w:p>
    <w:sectPr w:rsidR="00AC4293" w:rsidRPr="00E65416" w:rsidSect="00BD5D0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15B" w:rsidRDefault="005B215B" w:rsidP="003B2642">
      <w:r>
        <w:separator/>
      </w:r>
    </w:p>
  </w:endnote>
  <w:endnote w:type="continuationSeparator" w:id="0">
    <w:p w:rsidR="005B215B" w:rsidRDefault="005B215B" w:rsidP="003B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267202"/>
      <w:docPartObj>
        <w:docPartGallery w:val="Page Numbers (Bottom of Page)"/>
        <w:docPartUnique/>
      </w:docPartObj>
    </w:sdtPr>
    <w:sdtEndPr/>
    <w:sdtContent>
      <w:sdt>
        <w:sdtPr>
          <w:id w:val="-1669238322"/>
          <w:docPartObj>
            <w:docPartGallery w:val="Page Numbers (Top of Page)"/>
            <w:docPartUnique/>
          </w:docPartObj>
        </w:sdtPr>
        <w:sdtEndPr/>
        <w:sdtContent>
          <w:p w:rsidR="00F43583" w:rsidRDefault="00F43583" w:rsidP="00F43583">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F41A3">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F41A3">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15B" w:rsidRDefault="005B215B" w:rsidP="003B2642">
      <w:r>
        <w:separator/>
      </w:r>
    </w:p>
  </w:footnote>
  <w:footnote w:type="continuationSeparator" w:id="0">
    <w:p w:rsidR="005B215B" w:rsidRDefault="005B215B" w:rsidP="003B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14A9"/>
    <w:multiLevelType w:val="hybridMultilevel"/>
    <w:tmpl w:val="16CAA2C4"/>
    <w:lvl w:ilvl="0" w:tplc="6C7C2C20">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
    <w:nsid w:val="05E145A6"/>
    <w:multiLevelType w:val="hybridMultilevel"/>
    <w:tmpl w:val="4FB2F1B4"/>
    <w:lvl w:ilvl="0" w:tplc="04090005">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EF0DFF"/>
    <w:multiLevelType w:val="hybridMultilevel"/>
    <w:tmpl w:val="492C9128"/>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0FEC12FE"/>
    <w:multiLevelType w:val="hybridMultilevel"/>
    <w:tmpl w:val="AE3CC24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1325C5E"/>
    <w:multiLevelType w:val="hybridMultilevel"/>
    <w:tmpl w:val="97BEFE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22670E5F"/>
    <w:multiLevelType w:val="hybridMultilevel"/>
    <w:tmpl w:val="02027EE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2A972901"/>
    <w:multiLevelType w:val="hybridMultilevel"/>
    <w:tmpl w:val="E6AE352E"/>
    <w:lvl w:ilvl="0" w:tplc="04090005">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5A96DEA"/>
    <w:multiLevelType w:val="hybridMultilevel"/>
    <w:tmpl w:val="A540F9AE"/>
    <w:lvl w:ilvl="0" w:tplc="759656A6">
      <w:start w:val="1"/>
      <w:numFmt w:val="decimalFullWidth"/>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5A64651F"/>
    <w:multiLevelType w:val="hybridMultilevel"/>
    <w:tmpl w:val="F48C5FE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B64E78"/>
    <w:multiLevelType w:val="hybridMultilevel"/>
    <w:tmpl w:val="321A8A1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36E0B02"/>
    <w:multiLevelType w:val="hybridMultilevel"/>
    <w:tmpl w:val="112C2894"/>
    <w:lvl w:ilvl="0" w:tplc="4596FF8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447104B"/>
    <w:multiLevelType w:val="hybridMultilevel"/>
    <w:tmpl w:val="84345E30"/>
    <w:lvl w:ilvl="0" w:tplc="04090005">
      <w:start w:val="1"/>
      <w:numFmt w:val="bullet"/>
      <w:lvlText w:val=""/>
      <w:lvlJc w:val="left"/>
      <w:pPr>
        <w:ind w:left="885" w:hanging="420"/>
      </w:pPr>
      <w:rPr>
        <w:rFonts w:ascii="Wingdings" w:hAnsi="Wingdings" w:hint="default"/>
      </w:rPr>
    </w:lvl>
    <w:lvl w:ilvl="1" w:tplc="04090003" w:tentative="1">
      <w:start w:val="1"/>
      <w:numFmt w:val="bullet"/>
      <w:lvlText w:val=""/>
      <w:lvlJc w:val="left"/>
      <w:pPr>
        <w:ind w:left="1305" w:hanging="420"/>
      </w:pPr>
      <w:rPr>
        <w:rFonts w:ascii="Wingdings" w:hAnsi="Wingdings" w:hint="default"/>
      </w:rPr>
    </w:lvl>
    <w:lvl w:ilvl="2" w:tplc="04090005"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3" w:tentative="1">
      <w:start w:val="1"/>
      <w:numFmt w:val="bullet"/>
      <w:lvlText w:val=""/>
      <w:lvlJc w:val="left"/>
      <w:pPr>
        <w:ind w:left="2565" w:hanging="420"/>
      </w:pPr>
      <w:rPr>
        <w:rFonts w:ascii="Wingdings" w:hAnsi="Wingdings" w:hint="default"/>
      </w:rPr>
    </w:lvl>
    <w:lvl w:ilvl="5" w:tplc="04090005"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3" w:tentative="1">
      <w:start w:val="1"/>
      <w:numFmt w:val="bullet"/>
      <w:lvlText w:val=""/>
      <w:lvlJc w:val="left"/>
      <w:pPr>
        <w:ind w:left="3825" w:hanging="420"/>
      </w:pPr>
      <w:rPr>
        <w:rFonts w:ascii="Wingdings" w:hAnsi="Wingdings" w:hint="default"/>
      </w:rPr>
    </w:lvl>
    <w:lvl w:ilvl="8" w:tplc="04090005" w:tentative="1">
      <w:start w:val="1"/>
      <w:numFmt w:val="bullet"/>
      <w:lvlText w:val=""/>
      <w:lvlJc w:val="left"/>
      <w:pPr>
        <w:ind w:left="4245" w:hanging="420"/>
      </w:pPr>
      <w:rPr>
        <w:rFonts w:ascii="Wingdings" w:hAnsi="Wingdings" w:hint="default"/>
      </w:rPr>
    </w:lvl>
  </w:abstractNum>
  <w:num w:numId="1">
    <w:abstractNumId w:val="3"/>
  </w:num>
  <w:num w:numId="2">
    <w:abstractNumId w:val="7"/>
  </w:num>
  <w:num w:numId="3">
    <w:abstractNumId w:val="5"/>
  </w:num>
  <w:num w:numId="4">
    <w:abstractNumId w:val="4"/>
  </w:num>
  <w:num w:numId="5">
    <w:abstractNumId w:val="11"/>
  </w:num>
  <w:num w:numId="6">
    <w:abstractNumId w:val="0"/>
  </w:num>
  <w:num w:numId="7">
    <w:abstractNumId w:val="2"/>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9"/>
  </w:num>
  <w:num w:numId="12">
    <w:abstractNumId w:val="10"/>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D43"/>
    <w:rsid w:val="000001B6"/>
    <w:rsid w:val="00005B4D"/>
    <w:rsid w:val="000063E8"/>
    <w:rsid w:val="0001156B"/>
    <w:rsid w:val="00013894"/>
    <w:rsid w:val="00015C97"/>
    <w:rsid w:val="000166B0"/>
    <w:rsid w:val="00023CE1"/>
    <w:rsid w:val="00030FA7"/>
    <w:rsid w:val="00034C76"/>
    <w:rsid w:val="000411EB"/>
    <w:rsid w:val="00044BA2"/>
    <w:rsid w:val="00064F44"/>
    <w:rsid w:val="000828A6"/>
    <w:rsid w:val="00083B35"/>
    <w:rsid w:val="00091AFF"/>
    <w:rsid w:val="000B22C1"/>
    <w:rsid w:val="000B53DF"/>
    <w:rsid w:val="000B54D5"/>
    <w:rsid w:val="000B74F4"/>
    <w:rsid w:val="000D3D58"/>
    <w:rsid w:val="000F1261"/>
    <w:rsid w:val="00105C0C"/>
    <w:rsid w:val="0011260C"/>
    <w:rsid w:val="00112F9B"/>
    <w:rsid w:val="0011567C"/>
    <w:rsid w:val="00116C07"/>
    <w:rsid w:val="00140A3E"/>
    <w:rsid w:val="00173336"/>
    <w:rsid w:val="001768A6"/>
    <w:rsid w:val="00180334"/>
    <w:rsid w:val="00183656"/>
    <w:rsid w:val="00195B9C"/>
    <w:rsid w:val="001A0AC0"/>
    <w:rsid w:val="001B3BD8"/>
    <w:rsid w:val="001D384D"/>
    <w:rsid w:val="001D633C"/>
    <w:rsid w:val="001E008E"/>
    <w:rsid w:val="001E4DEA"/>
    <w:rsid w:val="001E6846"/>
    <w:rsid w:val="00201B5B"/>
    <w:rsid w:val="00204278"/>
    <w:rsid w:val="002072E4"/>
    <w:rsid w:val="002122A1"/>
    <w:rsid w:val="00247AFE"/>
    <w:rsid w:val="0025178A"/>
    <w:rsid w:val="00266724"/>
    <w:rsid w:val="002754D3"/>
    <w:rsid w:val="00280DE8"/>
    <w:rsid w:val="002B18D6"/>
    <w:rsid w:val="002C3281"/>
    <w:rsid w:val="002C4806"/>
    <w:rsid w:val="002C73EA"/>
    <w:rsid w:val="002D44AC"/>
    <w:rsid w:val="002D692F"/>
    <w:rsid w:val="002D6E0F"/>
    <w:rsid w:val="002E1A13"/>
    <w:rsid w:val="002E375F"/>
    <w:rsid w:val="002F762F"/>
    <w:rsid w:val="002F7EBB"/>
    <w:rsid w:val="00327BEE"/>
    <w:rsid w:val="003445A1"/>
    <w:rsid w:val="003633A0"/>
    <w:rsid w:val="003852AC"/>
    <w:rsid w:val="003A1FA8"/>
    <w:rsid w:val="003B2642"/>
    <w:rsid w:val="003C58FF"/>
    <w:rsid w:val="003D0956"/>
    <w:rsid w:val="003D7A87"/>
    <w:rsid w:val="003E36A8"/>
    <w:rsid w:val="003E67EB"/>
    <w:rsid w:val="004254E4"/>
    <w:rsid w:val="00434E0F"/>
    <w:rsid w:val="00437624"/>
    <w:rsid w:val="00442742"/>
    <w:rsid w:val="00445A29"/>
    <w:rsid w:val="004566E3"/>
    <w:rsid w:val="00463625"/>
    <w:rsid w:val="0046680D"/>
    <w:rsid w:val="00466BC6"/>
    <w:rsid w:val="00484924"/>
    <w:rsid w:val="00485233"/>
    <w:rsid w:val="00485BC2"/>
    <w:rsid w:val="004905FE"/>
    <w:rsid w:val="004A0ECF"/>
    <w:rsid w:val="004A6577"/>
    <w:rsid w:val="004B462F"/>
    <w:rsid w:val="004B4D10"/>
    <w:rsid w:val="004C0EF7"/>
    <w:rsid w:val="004D1534"/>
    <w:rsid w:val="004D4968"/>
    <w:rsid w:val="004E5D9B"/>
    <w:rsid w:val="004E6FC1"/>
    <w:rsid w:val="004F499D"/>
    <w:rsid w:val="004F5E7A"/>
    <w:rsid w:val="005062C7"/>
    <w:rsid w:val="00506ED7"/>
    <w:rsid w:val="005108B9"/>
    <w:rsid w:val="00513557"/>
    <w:rsid w:val="00520B60"/>
    <w:rsid w:val="005215D6"/>
    <w:rsid w:val="00522F50"/>
    <w:rsid w:val="005263A8"/>
    <w:rsid w:val="00526785"/>
    <w:rsid w:val="0053755A"/>
    <w:rsid w:val="00560337"/>
    <w:rsid w:val="00577DCA"/>
    <w:rsid w:val="0058067A"/>
    <w:rsid w:val="00580E2C"/>
    <w:rsid w:val="00583299"/>
    <w:rsid w:val="005870BD"/>
    <w:rsid w:val="005A1D5E"/>
    <w:rsid w:val="005A2947"/>
    <w:rsid w:val="005B215B"/>
    <w:rsid w:val="005B45E0"/>
    <w:rsid w:val="005C6D4D"/>
    <w:rsid w:val="005D0ED5"/>
    <w:rsid w:val="005D4DE1"/>
    <w:rsid w:val="005E7F7D"/>
    <w:rsid w:val="005F49D1"/>
    <w:rsid w:val="005F67E1"/>
    <w:rsid w:val="006078D1"/>
    <w:rsid w:val="006564F3"/>
    <w:rsid w:val="00660D52"/>
    <w:rsid w:val="00671B9D"/>
    <w:rsid w:val="00676EFA"/>
    <w:rsid w:val="00694642"/>
    <w:rsid w:val="006A7893"/>
    <w:rsid w:val="006B74E1"/>
    <w:rsid w:val="006B754B"/>
    <w:rsid w:val="006D0323"/>
    <w:rsid w:val="006D1AC8"/>
    <w:rsid w:val="006E3CE2"/>
    <w:rsid w:val="006F26CD"/>
    <w:rsid w:val="006F5B06"/>
    <w:rsid w:val="006F7C3A"/>
    <w:rsid w:val="007003F4"/>
    <w:rsid w:val="007125B8"/>
    <w:rsid w:val="00731770"/>
    <w:rsid w:val="007602F3"/>
    <w:rsid w:val="0076184B"/>
    <w:rsid w:val="00777577"/>
    <w:rsid w:val="007B5213"/>
    <w:rsid w:val="007C6056"/>
    <w:rsid w:val="007D73BF"/>
    <w:rsid w:val="007E4241"/>
    <w:rsid w:val="007E7F68"/>
    <w:rsid w:val="007F794A"/>
    <w:rsid w:val="007F7F21"/>
    <w:rsid w:val="00802449"/>
    <w:rsid w:val="008062E9"/>
    <w:rsid w:val="00811392"/>
    <w:rsid w:val="00812342"/>
    <w:rsid w:val="0082002C"/>
    <w:rsid w:val="008228A9"/>
    <w:rsid w:val="00822F12"/>
    <w:rsid w:val="00833B7B"/>
    <w:rsid w:val="00836349"/>
    <w:rsid w:val="0084666B"/>
    <w:rsid w:val="00851F15"/>
    <w:rsid w:val="00893D43"/>
    <w:rsid w:val="00897C1B"/>
    <w:rsid w:val="008B1FBD"/>
    <w:rsid w:val="008B61B6"/>
    <w:rsid w:val="008C6938"/>
    <w:rsid w:val="008D0119"/>
    <w:rsid w:val="008F0ADC"/>
    <w:rsid w:val="008F41A3"/>
    <w:rsid w:val="008F78DA"/>
    <w:rsid w:val="008F7B36"/>
    <w:rsid w:val="00903826"/>
    <w:rsid w:val="00907FAE"/>
    <w:rsid w:val="0091636D"/>
    <w:rsid w:val="00920E92"/>
    <w:rsid w:val="0093390A"/>
    <w:rsid w:val="00944CB2"/>
    <w:rsid w:val="00965C2B"/>
    <w:rsid w:val="00993415"/>
    <w:rsid w:val="009B5858"/>
    <w:rsid w:val="009B681C"/>
    <w:rsid w:val="009C04AD"/>
    <w:rsid w:val="009D365A"/>
    <w:rsid w:val="009D3CF0"/>
    <w:rsid w:val="009E725B"/>
    <w:rsid w:val="009E7953"/>
    <w:rsid w:val="009E79D1"/>
    <w:rsid w:val="009F2DE2"/>
    <w:rsid w:val="00A002C6"/>
    <w:rsid w:val="00A01043"/>
    <w:rsid w:val="00A03A65"/>
    <w:rsid w:val="00A14E1D"/>
    <w:rsid w:val="00A20BC5"/>
    <w:rsid w:val="00A21F2A"/>
    <w:rsid w:val="00A26BA4"/>
    <w:rsid w:val="00A3076E"/>
    <w:rsid w:val="00A509F3"/>
    <w:rsid w:val="00A73445"/>
    <w:rsid w:val="00A83CBD"/>
    <w:rsid w:val="00A86A96"/>
    <w:rsid w:val="00A9314A"/>
    <w:rsid w:val="00AA2C1A"/>
    <w:rsid w:val="00AA302E"/>
    <w:rsid w:val="00AA439C"/>
    <w:rsid w:val="00AA593D"/>
    <w:rsid w:val="00AB249D"/>
    <w:rsid w:val="00AB660E"/>
    <w:rsid w:val="00AC4293"/>
    <w:rsid w:val="00AD40B4"/>
    <w:rsid w:val="00AF4285"/>
    <w:rsid w:val="00B10065"/>
    <w:rsid w:val="00B11197"/>
    <w:rsid w:val="00B21F7B"/>
    <w:rsid w:val="00B22C9B"/>
    <w:rsid w:val="00B24FF6"/>
    <w:rsid w:val="00B35E7E"/>
    <w:rsid w:val="00B41DA9"/>
    <w:rsid w:val="00B6755E"/>
    <w:rsid w:val="00B73C67"/>
    <w:rsid w:val="00B74F31"/>
    <w:rsid w:val="00B75172"/>
    <w:rsid w:val="00B75C40"/>
    <w:rsid w:val="00B851BD"/>
    <w:rsid w:val="00B90215"/>
    <w:rsid w:val="00B9042E"/>
    <w:rsid w:val="00B96904"/>
    <w:rsid w:val="00BA3318"/>
    <w:rsid w:val="00BB20D4"/>
    <w:rsid w:val="00BB5583"/>
    <w:rsid w:val="00BB6D83"/>
    <w:rsid w:val="00BC013F"/>
    <w:rsid w:val="00BC240F"/>
    <w:rsid w:val="00BD0556"/>
    <w:rsid w:val="00BD5D0D"/>
    <w:rsid w:val="00BD6F50"/>
    <w:rsid w:val="00BE3827"/>
    <w:rsid w:val="00BE3FD8"/>
    <w:rsid w:val="00C168F0"/>
    <w:rsid w:val="00C20907"/>
    <w:rsid w:val="00C2328C"/>
    <w:rsid w:val="00C2700C"/>
    <w:rsid w:val="00C41111"/>
    <w:rsid w:val="00C451F9"/>
    <w:rsid w:val="00C6266A"/>
    <w:rsid w:val="00C65BD9"/>
    <w:rsid w:val="00C70D3C"/>
    <w:rsid w:val="00C7676B"/>
    <w:rsid w:val="00C934EE"/>
    <w:rsid w:val="00C95731"/>
    <w:rsid w:val="00CA0109"/>
    <w:rsid w:val="00CA5465"/>
    <w:rsid w:val="00CC78D2"/>
    <w:rsid w:val="00CD58B6"/>
    <w:rsid w:val="00CE34D5"/>
    <w:rsid w:val="00CE6BF0"/>
    <w:rsid w:val="00D05584"/>
    <w:rsid w:val="00D05D3C"/>
    <w:rsid w:val="00D05FAB"/>
    <w:rsid w:val="00D06C6D"/>
    <w:rsid w:val="00D11D4D"/>
    <w:rsid w:val="00D1318B"/>
    <w:rsid w:val="00D20A74"/>
    <w:rsid w:val="00D609D0"/>
    <w:rsid w:val="00D6376D"/>
    <w:rsid w:val="00D676C7"/>
    <w:rsid w:val="00D87E32"/>
    <w:rsid w:val="00D92DE0"/>
    <w:rsid w:val="00D93A62"/>
    <w:rsid w:val="00DA79BE"/>
    <w:rsid w:val="00DC0698"/>
    <w:rsid w:val="00DC1654"/>
    <w:rsid w:val="00DC311E"/>
    <w:rsid w:val="00DC4283"/>
    <w:rsid w:val="00DC4E2B"/>
    <w:rsid w:val="00DC6BE6"/>
    <w:rsid w:val="00DE1BDB"/>
    <w:rsid w:val="00DE5CD3"/>
    <w:rsid w:val="00DE6104"/>
    <w:rsid w:val="00DF5E7F"/>
    <w:rsid w:val="00E0173A"/>
    <w:rsid w:val="00E02601"/>
    <w:rsid w:val="00E100F6"/>
    <w:rsid w:val="00E139BF"/>
    <w:rsid w:val="00E13C83"/>
    <w:rsid w:val="00E16A5D"/>
    <w:rsid w:val="00E25FEA"/>
    <w:rsid w:val="00E330A4"/>
    <w:rsid w:val="00E3643B"/>
    <w:rsid w:val="00E42256"/>
    <w:rsid w:val="00E627A1"/>
    <w:rsid w:val="00E65416"/>
    <w:rsid w:val="00E72C46"/>
    <w:rsid w:val="00E8509B"/>
    <w:rsid w:val="00E91A74"/>
    <w:rsid w:val="00EB75A5"/>
    <w:rsid w:val="00EC1E44"/>
    <w:rsid w:val="00EC3682"/>
    <w:rsid w:val="00EC3CEF"/>
    <w:rsid w:val="00ED3A1D"/>
    <w:rsid w:val="00EE31AA"/>
    <w:rsid w:val="00EE3F3F"/>
    <w:rsid w:val="00EE7F75"/>
    <w:rsid w:val="00EF490F"/>
    <w:rsid w:val="00EF49CF"/>
    <w:rsid w:val="00F02E7B"/>
    <w:rsid w:val="00F26CAB"/>
    <w:rsid w:val="00F36D55"/>
    <w:rsid w:val="00F43583"/>
    <w:rsid w:val="00F47D95"/>
    <w:rsid w:val="00F62A95"/>
    <w:rsid w:val="00F630B1"/>
    <w:rsid w:val="00F85CD0"/>
    <w:rsid w:val="00F92B4E"/>
    <w:rsid w:val="00FA1C4C"/>
    <w:rsid w:val="00FA1C8E"/>
    <w:rsid w:val="00FA1CC9"/>
    <w:rsid w:val="00FB3196"/>
    <w:rsid w:val="00FB3467"/>
    <w:rsid w:val="00FC5325"/>
    <w:rsid w:val="00FC5F7A"/>
    <w:rsid w:val="00FD3E66"/>
    <w:rsid w:val="00FD6F12"/>
    <w:rsid w:val="00FF1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D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序号标题"/>
    <w:basedOn w:val="a"/>
    <w:next w:val="a"/>
    <w:uiPriority w:val="99"/>
    <w:rsid w:val="00893D43"/>
    <w:pPr>
      <w:spacing w:line="312" w:lineRule="atLeast"/>
      <w:ind w:firstLine="425"/>
      <w:outlineLvl w:val="1"/>
    </w:pPr>
    <w:rPr>
      <w:rFonts w:ascii="黑体" w:eastAsia="黑体" w:cs="黑体"/>
      <w:szCs w:val="21"/>
    </w:rPr>
  </w:style>
  <w:style w:type="paragraph" w:styleId="a4">
    <w:name w:val="List Paragraph"/>
    <w:basedOn w:val="a"/>
    <w:uiPriority w:val="34"/>
    <w:qFormat/>
    <w:rsid w:val="00893D43"/>
    <w:pPr>
      <w:ind w:firstLineChars="200" w:firstLine="420"/>
    </w:pPr>
    <w:rPr>
      <w:szCs w:val="21"/>
    </w:rPr>
  </w:style>
  <w:style w:type="paragraph" w:styleId="a5">
    <w:name w:val="header"/>
    <w:basedOn w:val="a"/>
    <w:link w:val="Char"/>
    <w:uiPriority w:val="99"/>
    <w:unhideWhenUsed/>
    <w:rsid w:val="003B26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B2642"/>
    <w:rPr>
      <w:rFonts w:ascii="Times New Roman" w:eastAsia="宋体" w:hAnsi="Times New Roman" w:cs="Times New Roman"/>
      <w:sz w:val="18"/>
      <w:szCs w:val="18"/>
    </w:rPr>
  </w:style>
  <w:style w:type="paragraph" w:styleId="a6">
    <w:name w:val="footer"/>
    <w:basedOn w:val="a"/>
    <w:link w:val="Char0"/>
    <w:uiPriority w:val="99"/>
    <w:unhideWhenUsed/>
    <w:rsid w:val="003B2642"/>
    <w:pPr>
      <w:tabs>
        <w:tab w:val="center" w:pos="4153"/>
        <w:tab w:val="right" w:pos="8306"/>
      </w:tabs>
      <w:snapToGrid w:val="0"/>
      <w:jc w:val="left"/>
    </w:pPr>
    <w:rPr>
      <w:sz w:val="18"/>
      <w:szCs w:val="18"/>
    </w:rPr>
  </w:style>
  <w:style w:type="character" w:customStyle="1" w:styleId="Char0">
    <w:name w:val="页脚 Char"/>
    <w:basedOn w:val="a0"/>
    <w:link w:val="a6"/>
    <w:uiPriority w:val="99"/>
    <w:rsid w:val="003B2642"/>
    <w:rPr>
      <w:rFonts w:ascii="Times New Roman" w:eastAsia="宋体" w:hAnsi="Times New Roman" w:cs="Times New Roman"/>
      <w:sz w:val="18"/>
      <w:szCs w:val="18"/>
    </w:rPr>
  </w:style>
  <w:style w:type="paragraph" w:styleId="a7">
    <w:name w:val="Balloon Text"/>
    <w:basedOn w:val="a"/>
    <w:link w:val="Char1"/>
    <w:uiPriority w:val="99"/>
    <w:semiHidden/>
    <w:unhideWhenUsed/>
    <w:rsid w:val="00D92DE0"/>
    <w:rPr>
      <w:sz w:val="18"/>
      <w:szCs w:val="18"/>
    </w:rPr>
  </w:style>
  <w:style w:type="character" w:customStyle="1" w:styleId="Char1">
    <w:name w:val="批注框文本 Char"/>
    <w:basedOn w:val="a0"/>
    <w:link w:val="a7"/>
    <w:uiPriority w:val="99"/>
    <w:semiHidden/>
    <w:rsid w:val="00D92DE0"/>
    <w:rPr>
      <w:rFonts w:ascii="Times New Roman" w:eastAsia="宋体" w:hAnsi="Times New Roman" w:cs="Times New Roman"/>
      <w:sz w:val="18"/>
      <w:szCs w:val="18"/>
    </w:rPr>
  </w:style>
  <w:style w:type="character" w:customStyle="1" w:styleId="apple-converted-space">
    <w:name w:val="apple-converted-space"/>
    <w:basedOn w:val="a0"/>
    <w:rsid w:val="00434E0F"/>
  </w:style>
  <w:style w:type="paragraph" w:styleId="a8">
    <w:name w:val="Normal (Web)"/>
    <w:basedOn w:val="a"/>
    <w:uiPriority w:val="99"/>
    <w:unhideWhenUsed/>
    <w:rsid w:val="003E36A8"/>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C41111"/>
    <w:rPr>
      <w:b/>
      <w:bCs/>
    </w:rPr>
  </w:style>
  <w:style w:type="paragraph" w:styleId="aa">
    <w:name w:val="Date"/>
    <w:basedOn w:val="a"/>
    <w:next w:val="a"/>
    <w:link w:val="Char2"/>
    <w:uiPriority w:val="99"/>
    <w:semiHidden/>
    <w:unhideWhenUsed/>
    <w:rsid w:val="002C73EA"/>
    <w:pPr>
      <w:ind w:leftChars="2500" w:left="100"/>
    </w:pPr>
  </w:style>
  <w:style w:type="character" w:customStyle="1" w:styleId="Char2">
    <w:name w:val="日期 Char"/>
    <w:basedOn w:val="a0"/>
    <w:link w:val="aa"/>
    <w:uiPriority w:val="99"/>
    <w:semiHidden/>
    <w:rsid w:val="002C73EA"/>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D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序号标题"/>
    <w:basedOn w:val="a"/>
    <w:next w:val="a"/>
    <w:uiPriority w:val="99"/>
    <w:rsid w:val="00893D43"/>
    <w:pPr>
      <w:spacing w:line="312" w:lineRule="atLeast"/>
      <w:ind w:firstLine="425"/>
      <w:outlineLvl w:val="1"/>
    </w:pPr>
    <w:rPr>
      <w:rFonts w:ascii="黑体" w:eastAsia="黑体" w:cs="黑体"/>
      <w:szCs w:val="21"/>
    </w:rPr>
  </w:style>
  <w:style w:type="paragraph" w:styleId="a4">
    <w:name w:val="List Paragraph"/>
    <w:basedOn w:val="a"/>
    <w:uiPriority w:val="34"/>
    <w:qFormat/>
    <w:rsid w:val="00893D43"/>
    <w:pPr>
      <w:ind w:firstLineChars="200" w:firstLine="420"/>
    </w:pPr>
    <w:rPr>
      <w:szCs w:val="21"/>
    </w:rPr>
  </w:style>
  <w:style w:type="paragraph" w:styleId="a5">
    <w:name w:val="header"/>
    <w:basedOn w:val="a"/>
    <w:link w:val="Char"/>
    <w:uiPriority w:val="99"/>
    <w:unhideWhenUsed/>
    <w:rsid w:val="003B26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B2642"/>
    <w:rPr>
      <w:rFonts w:ascii="Times New Roman" w:eastAsia="宋体" w:hAnsi="Times New Roman" w:cs="Times New Roman"/>
      <w:sz w:val="18"/>
      <w:szCs w:val="18"/>
    </w:rPr>
  </w:style>
  <w:style w:type="paragraph" w:styleId="a6">
    <w:name w:val="footer"/>
    <w:basedOn w:val="a"/>
    <w:link w:val="Char0"/>
    <w:uiPriority w:val="99"/>
    <w:unhideWhenUsed/>
    <w:rsid w:val="003B2642"/>
    <w:pPr>
      <w:tabs>
        <w:tab w:val="center" w:pos="4153"/>
        <w:tab w:val="right" w:pos="8306"/>
      </w:tabs>
      <w:snapToGrid w:val="0"/>
      <w:jc w:val="left"/>
    </w:pPr>
    <w:rPr>
      <w:sz w:val="18"/>
      <w:szCs w:val="18"/>
    </w:rPr>
  </w:style>
  <w:style w:type="character" w:customStyle="1" w:styleId="Char0">
    <w:name w:val="页脚 Char"/>
    <w:basedOn w:val="a0"/>
    <w:link w:val="a6"/>
    <w:uiPriority w:val="99"/>
    <w:rsid w:val="003B2642"/>
    <w:rPr>
      <w:rFonts w:ascii="Times New Roman" w:eastAsia="宋体" w:hAnsi="Times New Roman" w:cs="Times New Roman"/>
      <w:sz w:val="18"/>
      <w:szCs w:val="18"/>
    </w:rPr>
  </w:style>
  <w:style w:type="paragraph" w:styleId="a7">
    <w:name w:val="Balloon Text"/>
    <w:basedOn w:val="a"/>
    <w:link w:val="Char1"/>
    <w:uiPriority w:val="99"/>
    <w:semiHidden/>
    <w:unhideWhenUsed/>
    <w:rsid w:val="00D92DE0"/>
    <w:rPr>
      <w:sz w:val="18"/>
      <w:szCs w:val="18"/>
    </w:rPr>
  </w:style>
  <w:style w:type="character" w:customStyle="1" w:styleId="Char1">
    <w:name w:val="批注框文本 Char"/>
    <w:basedOn w:val="a0"/>
    <w:link w:val="a7"/>
    <w:uiPriority w:val="99"/>
    <w:semiHidden/>
    <w:rsid w:val="00D92DE0"/>
    <w:rPr>
      <w:rFonts w:ascii="Times New Roman" w:eastAsia="宋体" w:hAnsi="Times New Roman" w:cs="Times New Roman"/>
      <w:sz w:val="18"/>
      <w:szCs w:val="18"/>
    </w:rPr>
  </w:style>
  <w:style w:type="character" w:customStyle="1" w:styleId="apple-converted-space">
    <w:name w:val="apple-converted-space"/>
    <w:basedOn w:val="a0"/>
    <w:rsid w:val="00434E0F"/>
  </w:style>
  <w:style w:type="paragraph" w:styleId="a8">
    <w:name w:val="Normal (Web)"/>
    <w:basedOn w:val="a"/>
    <w:uiPriority w:val="99"/>
    <w:unhideWhenUsed/>
    <w:rsid w:val="003E36A8"/>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C41111"/>
    <w:rPr>
      <w:b/>
      <w:bCs/>
    </w:rPr>
  </w:style>
  <w:style w:type="paragraph" w:styleId="aa">
    <w:name w:val="Date"/>
    <w:basedOn w:val="a"/>
    <w:next w:val="a"/>
    <w:link w:val="Char2"/>
    <w:uiPriority w:val="99"/>
    <w:semiHidden/>
    <w:unhideWhenUsed/>
    <w:rsid w:val="002C73EA"/>
    <w:pPr>
      <w:ind w:leftChars="2500" w:left="100"/>
    </w:pPr>
  </w:style>
  <w:style w:type="character" w:customStyle="1" w:styleId="Char2">
    <w:name w:val="日期 Char"/>
    <w:basedOn w:val="a0"/>
    <w:link w:val="aa"/>
    <w:uiPriority w:val="99"/>
    <w:semiHidden/>
    <w:rsid w:val="002C73E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3961">
      <w:bodyDiv w:val="1"/>
      <w:marLeft w:val="0"/>
      <w:marRight w:val="0"/>
      <w:marTop w:val="0"/>
      <w:marBottom w:val="0"/>
      <w:divBdr>
        <w:top w:val="none" w:sz="0" w:space="0" w:color="auto"/>
        <w:left w:val="none" w:sz="0" w:space="0" w:color="auto"/>
        <w:bottom w:val="none" w:sz="0" w:space="0" w:color="auto"/>
        <w:right w:val="none" w:sz="0" w:space="0" w:color="auto"/>
      </w:divBdr>
    </w:div>
    <w:div w:id="135536064">
      <w:bodyDiv w:val="1"/>
      <w:marLeft w:val="0"/>
      <w:marRight w:val="0"/>
      <w:marTop w:val="0"/>
      <w:marBottom w:val="0"/>
      <w:divBdr>
        <w:top w:val="none" w:sz="0" w:space="0" w:color="auto"/>
        <w:left w:val="none" w:sz="0" w:space="0" w:color="auto"/>
        <w:bottom w:val="none" w:sz="0" w:space="0" w:color="auto"/>
        <w:right w:val="none" w:sz="0" w:space="0" w:color="auto"/>
      </w:divBdr>
    </w:div>
    <w:div w:id="161435296">
      <w:bodyDiv w:val="1"/>
      <w:marLeft w:val="0"/>
      <w:marRight w:val="0"/>
      <w:marTop w:val="0"/>
      <w:marBottom w:val="0"/>
      <w:divBdr>
        <w:top w:val="none" w:sz="0" w:space="0" w:color="auto"/>
        <w:left w:val="none" w:sz="0" w:space="0" w:color="auto"/>
        <w:bottom w:val="none" w:sz="0" w:space="0" w:color="auto"/>
        <w:right w:val="none" w:sz="0" w:space="0" w:color="auto"/>
      </w:divBdr>
    </w:div>
    <w:div w:id="409666510">
      <w:bodyDiv w:val="1"/>
      <w:marLeft w:val="0"/>
      <w:marRight w:val="0"/>
      <w:marTop w:val="0"/>
      <w:marBottom w:val="0"/>
      <w:divBdr>
        <w:top w:val="none" w:sz="0" w:space="0" w:color="auto"/>
        <w:left w:val="none" w:sz="0" w:space="0" w:color="auto"/>
        <w:bottom w:val="none" w:sz="0" w:space="0" w:color="auto"/>
        <w:right w:val="none" w:sz="0" w:space="0" w:color="auto"/>
      </w:divBdr>
    </w:div>
    <w:div w:id="484009088">
      <w:bodyDiv w:val="1"/>
      <w:marLeft w:val="0"/>
      <w:marRight w:val="0"/>
      <w:marTop w:val="300"/>
      <w:marBottom w:val="0"/>
      <w:divBdr>
        <w:top w:val="none" w:sz="0" w:space="0" w:color="auto"/>
        <w:left w:val="none" w:sz="0" w:space="0" w:color="auto"/>
        <w:bottom w:val="none" w:sz="0" w:space="0" w:color="auto"/>
        <w:right w:val="none" w:sz="0" w:space="0" w:color="auto"/>
      </w:divBdr>
      <w:divsChild>
        <w:div w:id="2135253133">
          <w:marLeft w:val="0"/>
          <w:marRight w:val="0"/>
          <w:marTop w:val="0"/>
          <w:marBottom w:val="0"/>
          <w:divBdr>
            <w:top w:val="none" w:sz="0" w:space="0" w:color="auto"/>
            <w:left w:val="none" w:sz="0" w:space="0" w:color="auto"/>
            <w:bottom w:val="none" w:sz="0" w:space="0" w:color="auto"/>
            <w:right w:val="none" w:sz="0" w:space="0" w:color="auto"/>
          </w:divBdr>
          <w:divsChild>
            <w:div w:id="361246957">
              <w:marLeft w:val="0"/>
              <w:marRight w:val="0"/>
              <w:marTop w:val="0"/>
              <w:marBottom w:val="0"/>
              <w:divBdr>
                <w:top w:val="single" w:sz="6" w:space="0" w:color="E3E3E3"/>
                <w:left w:val="none" w:sz="0" w:space="0" w:color="auto"/>
                <w:bottom w:val="none" w:sz="0" w:space="0" w:color="auto"/>
                <w:right w:val="none" w:sz="0" w:space="0" w:color="auto"/>
              </w:divBdr>
              <w:divsChild>
                <w:div w:id="755441206">
                  <w:marLeft w:val="0"/>
                  <w:marRight w:val="0"/>
                  <w:marTop w:val="0"/>
                  <w:marBottom w:val="0"/>
                  <w:divBdr>
                    <w:top w:val="none" w:sz="0" w:space="0" w:color="auto"/>
                    <w:left w:val="none" w:sz="0" w:space="0" w:color="auto"/>
                    <w:bottom w:val="none" w:sz="0" w:space="0" w:color="auto"/>
                    <w:right w:val="none" w:sz="0" w:space="0" w:color="auto"/>
                  </w:divBdr>
                  <w:divsChild>
                    <w:div w:id="1063522680">
                      <w:marLeft w:val="300"/>
                      <w:marRight w:val="0"/>
                      <w:marTop w:val="300"/>
                      <w:marBottom w:val="0"/>
                      <w:divBdr>
                        <w:top w:val="none" w:sz="0" w:space="0" w:color="auto"/>
                        <w:left w:val="none" w:sz="0" w:space="0" w:color="auto"/>
                        <w:bottom w:val="none" w:sz="0" w:space="0" w:color="auto"/>
                        <w:right w:val="none" w:sz="0" w:space="0" w:color="auto"/>
                      </w:divBdr>
                      <w:divsChild>
                        <w:div w:id="472454174">
                          <w:marLeft w:val="0"/>
                          <w:marRight w:val="0"/>
                          <w:marTop w:val="0"/>
                          <w:marBottom w:val="0"/>
                          <w:divBdr>
                            <w:top w:val="none" w:sz="0" w:space="0" w:color="auto"/>
                            <w:left w:val="none" w:sz="0" w:space="0" w:color="auto"/>
                            <w:bottom w:val="none" w:sz="0" w:space="0" w:color="auto"/>
                            <w:right w:val="none" w:sz="0" w:space="0" w:color="auto"/>
                          </w:divBdr>
                          <w:divsChild>
                            <w:div w:id="1700858071">
                              <w:marLeft w:val="0"/>
                              <w:marRight w:val="0"/>
                              <w:marTop w:val="0"/>
                              <w:marBottom w:val="0"/>
                              <w:divBdr>
                                <w:top w:val="none" w:sz="0" w:space="0" w:color="auto"/>
                                <w:left w:val="none" w:sz="0" w:space="0" w:color="auto"/>
                                <w:bottom w:val="none" w:sz="0" w:space="0" w:color="auto"/>
                                <w:right w:val="none" w:sz="0" w:space="0" w:color="auto"/>
                              </w:divBdr>
                              <w:divsChild>
                                <w:div w:id="209134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058982">
      <w:bodyDiv w:val="1"/>
      <w:marLeft w:val="0"/>
      <w:marRight w:val="0"/>
      <w:marTop w:val="0"/>
      <w:marBottom w:val="0"/>
      <w:divBdr>
        <w:top w:val="none" w:sz="0" w:space="0" w:color="auto"/>
        <w:left w:val="none" w:sz="0" w:space="0" w:color="auto"/>
        <w:bottom w:val="none" w:sz="0" w:space="0" w:color="auto"/>
        <w:right w:val="none" w:sz="0" w:space="0" w:color="auto"/>
      </w:divBdr>
    </w:div>
    <w:div w:id="1331444928">
      <w:bodyDiv w:val="1"/>
      <w:marLeft w:val="0"/>
      <w:marRight w:val="0"/>
      <w:marTop w:val="0"/>
      <w:marBottom w:val="0"/>
      <w:divBdr>
        <w:top w:val="none" w:sz="0" w:space="0" w:color="auto"/>
        <w:left w:val="none" w:sz="0" w:space="0" w:color="auto"/>
        <w:bottom w:val="none" w:sz="0" w:space="0" w:color="auto"/>
        <w:right w:val="none" w:sz="0" w:space="0" w:color="auto"/>
      </w:divBdr>
    </w:div>
    <w:div w:id="1397045368">
      <w:bodyDiv w:val="1"/>
      <w:marLeft w:val="0"/>
      <w:marRight w:val="0"/>
      <w:marTop w:val="0"/>
      <w:marBottom w:val="0"/>
      <w:divBdr>
        <w:top w:val="none" w:sz="0" w:space="0" w:color="auto"/>
        <w:left w:val="none" w:sz="0" w:space="0" w:color="auto"/>
        <w:bottom w:val="none" w:sz="0" w:space="0" w:color="auto"/>
        <w:right w:val="none" w:sz="0" w:space="0" w:color="auto"/>
      </w:divBdr>
    </w:div>
    <w:div w:id="1420175030">
      <w:bodyDiv w:val="1"/>
      <w:marLeft w:val="0"/>
      <w:marRight w:val="0"/>
      <w:marTop w:val="0"/>
      <w:marBottom w:val="0"/>
      <w:divBdr>
        <w:top w:val="none" w:sz="0" w:space="0" w:color="auto"/>
        <w:left w:val="none" w:sz="0" w:space="0" w:color="auto"/>
        <w:bottom w:val="none" w:sz="0" w:space="0" w:color="auto"/>
        <w:right w:val="none" w:sz="0" w:space="0" w:color="auto"/>
      </w:divBdr>
    </w:div>
    <w:div w:id="164491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9</Pages>
  <Words>966</Words>
  <Characters>5509</Characters>
  <Application>Microsoft Office Word</Application>
  <DocSecurity>0</DocSecurity>
  <Lines>45</Lines>
  <Paragraphs>12</Paragraphs>
  <ScaleCrop>false</ScaleCrop>
  <Company>Microsoft</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94</cp:revision>
  <cp:lastPrinted>2019-05-13T02:11:00Z</cp:lastPrinted>
  <dcterms:created xsi:type="dcterms:W3CDTF">2019-01-22T07:46:00Z</dcterms:created>
  <dcterms:modified xsi:type="dcterms:W3CDTF">2019-05-16T03:26:00Z</dcterms:modified>
</cp:coreProperties>
</file>